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Санкт-Петербургский филиал федерального государственного </w:t>
        <w:br w:type="textWrapping"/>
        <w:t xml:space="preserve">автономного образовательного учреждения высшего образования </w:t>
        <w:br w:type="textWrapping"/>
        <w:t xml:space="preserve">"Национальный исследовательский университет 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"Высшая школа экономики"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44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Факультет Санкт-Петербургская школа социальных и гуманитарных наук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Департамент истории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Рабочая программа дисциплины</w:t>
      </w:r>
      <w:r w:rsidDel="00000000" w:rsidR="00000000" w:rsidRPr="00000000">
        <w:rPr>
          <w:sz w:val="28"/>
          <w:szCs w:val="28"/>
          <w:rtl w:val="0"/>
        </w:rPr>
        <w:t xml:space="preserve"> </w:t>
        <w:br w:type="textWrapping"/>
        <w:t xml:space="preserve">Архивная практика</w:t>
      </w:r>
    </w:p>
    <w:p w:rsidR="00000000" w:rsidDel="00000000" w:rsidP="00000000" w:rsidRDefault="00000000" w:rsidRPr="00000000" w14:paraId="0000000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для образовательной программы «История»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направления подготовки  </w:t>
      </w:r>
      <w:r w:rsidDel="00000000" w:rsidR="00000000" w:rsidRPr="00000000">
        <w:rPr>
          <w:rFonts w:ascii="Times" w:cs="Times" w:eastAsia="Times" w:hAnsi="Times"/>
          <w:rtl w:val="0"/>
        </w:rPr>
        <w:t xml:space="preserve">46.03.01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rtl w:val="0"/>
        </w:rPr>
        <w:t xml:space="preserve">История</w:t>
      </w:r>
      <w:r w:rsidDel="00000000" w:rsidR="00000000" w:rsidRPr="00000000">
        <w:rPr>
          <w:rtl w:val="0"/>
        </w:rPr>
        <w:t xml:space="preserve">»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уровень бакалавриат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Разработчик(и) программы</w:t>
      </w:r>
    </w:p>
    <w:p w:rsidR="00000000" w:rsidDel="00000000" w:rsidP="00000000" w:rsidRDefault="00000000" w:rsidRPr="00000000" w14:paraId="00000013">
      <w:pPr>
        <w:ind w:firstLine="0"/>
        <w:rPr/>
      </w:pPr>
      <w:r w:rsidDel="00000000" w:rsidR="00000000" w:rsidRPr="00000000">
        <w:rPr>
          <w:rtl w:val="0"/>
        </w:rPr>
        <w:t xml:space="preserve">Селин Адриан Александрович, д. и. н., aselin@hse.ru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Менеджер программы _________________________ М.А. Кравцова         </w:t>
      </w:r>
    </w:p>
    <w:p w:rsidR="00000000" w:rsidDel="00000000" w:rsidP="00000000" w:rsidRDefault="00000000" w:rsidRPr="00000000" w14:paraId="0000001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  <w:t xml:space="preserve">31.08.2017 г.</w:t>
      </w:r>
    </w:p>
    <w:p w:rsidR="00000000" w:rsidDel="00000000" w:rsidP="00000000" w:rsidRDefault="00000000" w:rsidRPr="00000000" w14:paraId="0000001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rPr/>
      </w:pPr>
      <w:r w:rsidDel="00000000" w:rsidR="00000000" w:rsidRPr="00000000">
        <w:rPr>
          <w:rtl w:val="0"/>
        </w:rPr>
        <w:t xml:space="preserve">Утверждена Академическим советом образовательной программы </w:t>
      </w:r>
    </w:p>
    <w:p w:rsidR="00000000" w:rsidDel="00000000" w:rsidP="00000000" w:rsidRDefault="00000000" w:rsidRPr="00000000" w14:paraId="0000001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  <w:t xml:space="preserve">31.08. 2017 г., № протокола__1-2017_</w:t>
      </w:r>
    </w:p>
    <w:p w:rsidR="00000000" w:rsidDel="00000000" w:rsidP="00000000" w:rsidRDefault="00000000" w:rsidRPr="00000000" w14:paraId="0000001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/>
      </w:pPr>
      <w:r w:rsidDel="00000000" w:rsidR="00000000" w:rsidRPr="00000000">
        <w:rPr>
          <w:rtl w:val="0"/>
        </w:rPr>
        <w:t xml:space="preserve">Академический руководитель образовательной программы </w:t>
      </w:r>
    </w:p>
    <w:p w:rsidR="00000000" w:rsidDel="00000000" w:rsidP="00000000" w:rsidRDefault="00000000" w:rsidRPr="00000000" w14:paraId="0000001F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rPr/>
      </w:pPr>
      <w:r w:rsidDel="00000000" w:rsidR="00000000" w:rsidRPr="00000000">
        <w:rPr>
          <w:rtl w:val="0"/>
        </w:rPr>
        <w:t xml:space="preserve">д. ист. н._А.А. Селин________________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Санкт-Петербург, 2017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headerReference r:id="rId6" w:type="default"/>
          <w:headerReference r:id="rId7" w:type="first"/>
          <w:footerReference r:id="rId8" w:type="default"/>
          <w:pgSz w:h="16838" w:w="11906"/>
          <w:pgMar w:bottom="851" w:top="851" w:left="1134" w:right="851" w:header="709" w:footer="567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Область применения и нормативные ссылки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Программа предназначена для преподавателей, ведущих дисциплину «Музейно-археологическая практика», учебных ассистентов, и студентов направления подготовки бакалавра 46.03.01 «История», изучающих дисциплину, обучающихся по образовательной программе «История».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Рабочая программа дисциплины разработана в соответствии с: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Образовательным стандартом НИУ ВШЭ по направлению 46.03.01 «История» подготовки бакалавра, см.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http://spb.hse.ru/ba/hist/documents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Образовательной программой «История» по направлению 46.03.01 «История» подготовки бакалавра.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Объединенным учебным планом университета по образовательной программе «История», утвержденным в 2015 г.</w:t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Цели освоения дисциплины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rtl w:val="0"/>
        </w:rPr>
        <w:t xml:space="preserve">Цель программы «Архивная практика»</w:t>
      </w:r>
      <w:r w:rsidDel="00000000" w:rsidR="00000000" w:rsidRPr="00000000">
        <w:rPr>
          <w:rtl w:val="0"/>
        </w:rPr>
        <w:t xml:space="preserve"> состоит в формировании и развитии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исследованиях.</w:t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Компетенции обучающегося, формируемые в результате освоения дисциплины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В результате освоения дисциплины студент осваивает следующие основные компетенции: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6"/>
        <w:gridCol w:w="3310"/>
        <w:gridCol w:w="2268"/>
        <w:gridCol w:w="2299"/>
        <w:tblGridChange w:id="0">
          <w:tblGrid>
            <w:gridCol w:w="1116"/>
            <w:gridCol w:w="3310"/>
            <w:gridCol w:w="2268"/>
            <w:gridCol w:w="229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Компетенция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Дескрипторы – основные признаки освоения (показатели достижения результата)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Формы и методы обучения, способствующие формированию и развитию компетенции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Форма контроля уровня сформированности компетенции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 3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Способен решать проблемы в профессиональной деятельности на основе анализа и синтеза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в архиве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Текущий контроль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 7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Способен работать в команде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в архиве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Текущий контроль, работа в группе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 9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в архиве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отчет о практике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 10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Способен осуществлять производственную или прикладную деятельность в международной среде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в архиве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Отчет о практике 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ПК 4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Способен работать в малых творческих коллективах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в архиве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Работа в группе, 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ПК 10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Способен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 в архиве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Отчет о практике</w:t>
            </w:r>
          </w:p>
          <w:p w:rsidR="00000000" w:rsidDel="00000000" w:rsidP="00000000" w:rsidRDefault="00000000" w:rsidRPr="00000000" w14:paraId="0000005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firstLine="0"/>
        <w:rPr/>
      </w:pPr>
      <w:r w:rsidDel="00000000" w:rsidR="00000000" w:rsidRPr="00000000">
        <w:rPr>
          <w:rtl w:val="0"/>
        </w:rPr>
        <w:t xml:space="preserve">А также в соответствии с Матрицей компетенций образовательной программы «История», дополнительно ПК 5, ПК 6, ПК 8, ПК 11, ПК 19, ПК 20, ПК 23, ПК 24, </w:t>
      </w:r>
    </w:p>
    <w:p w:rsidR="00000000" w:rsidDel="00000000" w:rsidP="00000000" w:rsidRDefault="00000000" w:rsidRPr="00000000" w14:paraId="00000053">
      <w:pPr>
        <w:ind w:firstLine="0"/>
        <w:rPr/>
      </w:pPr>
      <w:r w:rsidDel="00000000" w:rsidR="00000000" w:rsidRPr="00000000">
        <w:rPr>
          <w:rtl w:val="0"/>
        </w:rPr>
        <w:t xml:space="preserve">И профессиональные задачи: НИД1,4,5,8; АД1,2,3; КПРД1</w:t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Место дисциплины в структуре образовательной программы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Настоящая дисциплина относится к циклу/блоку дисциплин «Проектная и исследовательская работа».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Изучение данной дисциплины базируется на следующих дисциплинах: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«Источниковедение»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«Источниковедение и информационные ресурсы»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Основные положения дисциплины должны быть использованы в дальнейшем при изучении следующих дисциплин: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«Теория и история исторического знания»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Тематический план учебной дисциплины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ОБЪЕМ ДИСЦИПЛИНЫ - 3 зачетные единицы</w:t>
      </w:r>
    </w:p>
    <w:p w:rsidR="00000000" w:rsidDel="00000000" w:rsidP="00000000" w:rsidRDefault="00000000" w:rsidRPr="00000000" w14:paraId="0000005E">
      <w:pPr>
        <w:spacing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677"/>
        <w:gridCol w:w="993"/>
        <w:gridCol w:w="850"/>
        <w:gridCol w:w="850"/>
        <w:gridCol w:w="993"/>
        <w:gridCol w:w="1276"/>
        <w:tblGridChange w:id="0">
          <w:tblGrid>
            <w:gridCol w:w="534"/>
            <w:gridCol w:w="4677"/>
            <w:gridCol w:w="993"/>
            <w:gridCol w:w="850"/>
            <w:gridCol w:w="850"/>
            <w:gridCol w:w="993"/>
            <w:gridCol w:w="127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Название раздела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Всего часов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Аудиторные часы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Самостоятельная работа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Семинары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-107" w:right="-108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Практические 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Архивная практика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Содержание дисциплины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Студенты при прохождении практики: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представляют своевременно руководителю практики письменный отчет о выполнении заданий ( с оценкой по десятибалльной шкале) по практике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несут ответственность за выполняемую работу и её результаты.</w:t>
      </w:r>
    </w:p>
    <w:p w:rsidR="00000000" w:rsidDel="00000000" w:rsidP="00000000" w:rsidRDefault="00000000" w:rsidRPr="00000000" w14:paraId="00000081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Оценочные средства</w:t>
      </w:r>
    </w:p>
    <w:p w:rsidR="00000000" w:rsidDel="00000000" w:rsidP="00000000" w:rsidRDefault="00000000" w:rsidRPr="00000000" w14:paraId="00000082">
      <w:pPr>
        <w:pStyle w:val="Heading1"/>
        <w:rPr/>
      </w:pPr>
      <w:r w:rsidDel="00000000" w:rsidR="00000000" w:rsidRPr="00000000">
        <w:rPr>
          <w:rtl w:val="0"/>
        </w:rPr>
        <w:t xml:space="preserve">7.1 Формы контроля знаний студентов</w:t>
      </w:r>
    </w:p>
    <w:tbl>
      <w:tblPr>
        <w:tblStyle w:val="Table3"/>
        <w:tblW w:w="7069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2"/>
        <w:gridCol w:w="1559"/>
        <w:gridCol w:w="395"/>
        <w:gridCol w:w="395"/>
        <w:gridCol w:w="395"/>
        <w:gridCol w:w="395"/>
        <w:gridCol w:w="2268"/>
        <w:tblGridChange w:id="0">
          <w:tblGrid>
            <w:gridCol w:w="1662"/>
            <w:gridCol w:w="1559"/>
            <w:gridCol w:w="395"/>
            <w:gridCol w:w="395"/>
            <w:gridCol w:w="395"/>
            <w:gridCol w:w="395"/>
            <w:gridCol w:w="226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83">
            <w:pPr>
              <w:ind w:right="-108" w:firstLine="0"/>
              <w:rPr/>
            </w:pPr>
            <w:r w:rsidDel="00000000" w:rsidR="00000000" w:rsidRPr="00000000">
              <w:rPr>
                <w:rtl w:val="0"/>
              </w:rPr>
              <w:t xml:space="preserve">Тип контроля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Форма контроля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Параметры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ind w:right="-108" w:firstLine="0"/>
              <w:rPr/>
            </w:pPr>
            <w:r w:rsidDel="00000000" w:rsidR="00000000" w:rsidRPr="00000000">
              <w:rPr>
                <w:rtl w:val="0"/>
              </w:rPr>
              <w:t xml:space="preserve">Итоговый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Письменный экзамен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</w:t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numPr>
          <w:ilvl w:val="1"/>
          <w:numId w:val="1"/>
        </w:numPr>
        <w:ind w:left="576" w:hanging="57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Критерии и шкалы оценки знаний, примеры заданий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Отчет о прохождении учебной архивной практики пишется студентом в течение всего времени практики в виде отчета. Отчет по окончании работ сдается руководителю практики.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Итоговый контроль по архивной практике осуществляется в форме экзамена по десятибалльной системе оценивания. Результаты оценивания используются в рейтинговой системе оценки учебных результатов студента. Экзамен проводится на основании индивидуального письменного отчета о практике, а также собеседования, проводимого руководителем практики. К экзамену допускаются все студенты, фактически участвовавшие в практических занятиях без пропусков по неуважительным причинам.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  <w:t xml:space="preserve">7.3. Вопросы к экзамену</w:t>
      </w:r>
    </w:p>
    <w:p w:rsidR="00000000" w:rsidDel="00000000" w:rsidP="00000000" w:rsidRDefault="00000000" w:rsidRPr="00000000" w14:paraId="0000009D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1.      Структура архивов России</w:t>
      </w:r>
    </w:p>
    <w:p w:rsidR="00000000" w:rsidDel="00000000" w:rsidP="00000000" w:rsidRDefault="00000000" w:rsidRPr="00000000" w14:paraId="0000009E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2.      Императорская археографическвя комиссия (ИАК)</w:t>
      </w:r>
    </w:p>
    <w:p w:rsidR="00000000" w:rsidDel="00000000" w:rsidP="00000000" w:rsidRDefault="00000000" w:rsidRPr="00000000" w14:paraId="0000009F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3.      Издания ИАК</w:t>
      </w:r>
    </w:p>
    <w:p w:rsidR="00000000" w:rsidDel="00000000" w:rsidP="00000000" w:rsidRDefault="00000000" w:rsidRPr="00000000" w14:paraId="000000A0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4.      Губернские ученые архивные комиссии</w:t>
      </w:r>
    </w:p>
    <w:p w:rsidR="00000000" w:rsidDel="00000000" w:rsidP="00000000" w:rsidRDefault="00000000" w:rsidRPr="00000000" w14:paraId="000000A1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5.      Советская архивная реформа</w:t>
      </w:r>
    </w:p>
    <w:p w:rsidR="00000000" w:rsidDel="00000000" w:rsidP="00000000" w:rsidRDefault="00000000" w:rsidRPr="00000000" w14:paraId="000000A2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6.      НКВД и архивы</w:t>
      </w:r>
    </w:p>
    <w:p w:rsidR="00000000" w:rsidDel="00000000" w:rsidP="00000000" w:rsidRDefault="00000000" w:rsidRPr="00000000" w14:paraId="000000A3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7.      Современная структура архивов России</w:t>
      </w:r>
    </w:p>
    <w:p w:rsidR="00000000" w:rsidDel="00000000" w:rsidP="00000000" w:rsidRDefault="00000000" w:rsidRPr="00000000" w14:paraId="000000A4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8.      Принципы архивного хранения</w:t>
      </w:r>
    </w:p>
    <w:p w:rsidR="00000000" w:rsidDel="00000000" w:rsidP="00000000" w:rsidRDefault="00000000" w:rsidRPr="00000000" w14:paraId="000000A5">
      <w:pPr>
        <w:ind w:left="1780" w:hanging="360"/>
        <w:jc w:val="both"/>
        <w:rPr/>
      </w:pPr>
      <w:r w:rsidDel="00000000" w:rsidR="00000000" w:rsidRPr="00000000">
        <w:rPr>
          <w:rtl w:val="0"/>
        </w:rPr>
        <w:t xml:space="preserve">9.      Электронные архивы России и мира</w:t>
      </w:r>
    </w:p>
    <w:p w:rsidR="00000000" w:rsidDel="00000000" w:rsidP="00000000" w:rsidRDefault="00000000" w:rsidRPr="00000000" w14:paraId="000000A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7.3 Порядок формирования оценок по дисциплине</w:t>
      </w:r>
    </w:p>
    <w:p w:rsidR="00000000" w:rsidDel="00000000" w:rsidP="00000000" w:rsidRDefault="00000000" w:rsidRPr="00000000" w14:paraId="000000A9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 По дисциплине в ОУПе НЕ предусмотрен промежуточный контроль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b w:val="1"/>
          <w:rtl w:val="0"/>
        </w:rPr>
        <w:t xml:space="preserve">Результирующая оценка по дисциплине </w:t>
      </w:r>
      <w:r w:rsidDel="00000000" w:rsidR="00000000" w:rsidRPr="00000000">
        <w:rPr>
          <w:rtl w:val="0"/>
        </w:rPr>
        <w:t xml:space="preserve">(которая идет в диплом)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рассчитывается следующим образом:</w:t>
      </w:r>
    </w:p>
    <w:p w:rsidR="00000000" w:rsidDel="00000000" w:rsidP="00000000" w:rsidRDefault="00000000" w:rsidRPr="00000000" w14:paraId="000000AC">
      <w:pPr>
        <w:spacing w:before="240" w:lineRule="auto"/>
        <w:jc w:val="center"/>
        <w:rPr>
          <w:sz w:val="28"/>
          <w:szCs w:val="28"/>
          <w:vertAlign w:val="subscript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</w:t>
      </w:r>
      <w:r w:rsidDel="00000000" w:rsidR="00000000" w:rsidRPr="00000000">
        <w:rPr>
          <w:i w:val="1"/>
          <w:sz w:val="28"/>
          <w:szCs w:val="28"/>
          <w:vertAlign w:val="subscript"/>
          <w:rtl w:val="0"/>
        </w:rPr>
        <w:t xml:space="preserve">результ</w:t>
      </w:r>
      <w:r w:rsidDel="00000000" w:rsidR="00000000" w:rsidRPr="00000000">
        <w:rPr>
          <w:i w:val="1"/>
          <w:sz w:val="28"/>
          <w:szCs w:val="28"/>
          <w:rtl w:val="0"/>
        </w:rPr>
        <w:t xml:space="preserve"> = ·О</w:t>
      </w:r>
      <w:r w:rsidDel="00000000" w:rsidR="00000000" w:rsidRPr="00000000">
        <w:rPr>
          <w:i w:val="1"/>
          <w:sz w:val="28"/>
          <w:szCs w:val="28"/>
          <w:vertAlign w:val="subscript"/>
          <w:rtl w:val="0"/>
        </w:rPr>
        <w:t xml:space="preserve">экз 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  <w:t xml:space="preserve">Образовательные технологии</w:t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numPr>
          <w:ilvl w:val="0"/>
          <w:numId w:val="1"/>
        </w:numPr>
        <w:ind w:left="432" w:hanging="432"/>
        <w:rPr>
          <w:color w:val="ff0000"/>
        </w:rPr>
      </w:pPr>
      <w:r w:rsidDel="00000000" w:rsidR="00000000" w:rsidRPr="00000000">
        <w:rPr>
          <w:rtl w:val="0"/>
        </w:rPr>
        <w:t xml:space="preserve">Учебно-методическое и информационное обеспечение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2"/>
        <w:numPr>
          <w:ilvl w:val="1"/>
          <w:numId w:val="1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B2">
      <w:pPr>
        <w:pStyle w:val="Heading2"/>
        <w:numPr>
          <w:ilvl w:val="1"/>
          <w:numId w:val="1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B3">
      <w:pPr>
        <w:pStyle w:val="Heading2"/>
        <w:spacing w:before="240" w:lineRule="auto"/>
        <w:ind w:firstLine="576"/>
        <w:rPr/>
      </w:pPr>
      <w:r w:rsidDel="00000000" w:rsidR="00000000" w:rsidRPr="00000000">
        <w:rPr>
          <w:rtl w:val="0"/>
        </w:rPr>
        <w:t xml:space="preserve"> Архивоведение. История архивов в России. Екатеринбург, ЮРАЙТ, 2018</w:t>
      </w:r>
    </w:p>
    <w:p w:rsidR="00000000" w:rsidDel="00000000" w:rsidP="00000000" w:rsidRDefault="00000000" w:rsidRPr="00000000" w14:paraId="000000B4">
      <w:pPr>
        <w:pStyle w:val="Heading2"/>
        <w:numPr>
          <w:ilvl w:val="1"/>
          <w:numId w:val="1"/>
        </w:numPr>
        <w:spacing w:before="240" w:lineRule="auto"/>
        <w:ind w:left="576" w:hanging="576"/>
        <w:rPr/>
      </w:pPr>
      <w:r w:rsidDel="00000000" w:rsidR="00000000" w:rsidRPr="00000000">
        <w:rPr>
          <w:rtl w:val="0"/>
        </w:rPr>
        <w:t xml:space="preserve">Ресурсы «Интернет»</w:t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  <w:t xml:space="preserve">http://www.europeanmuseumforum.ru/ (Европейский музейный форум)</w:t>
      </w:r>
    </w:p>
    <w:p w:rsidR="00000000" w:rsidDel="00000000" w:rsidP="00000000" w:rsidRDefault="00000000" w:rsidRPr="00000000" w14:paraId="000000B6">
      <w:pPr>
        <w:jc w:val="both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http://www.cpolicy.ru/</w:t>
        </w:r>
      </w:hyperlink>
      <w:r w:rsidDel="00000000" w:rsidR="00000000" w:rsidRPr="00000000">
        <w:rPr>
          <w:rtl w:val="0"/>
        </w:rPr>
        <w:t xml:space="preserve"> (Институт культурной политики)</w:t>
      </w:r>
    </w:p>
    <w:p w:rsidR="00000000" w:rsidDel="00000000" w:rsidP="00000000" w:rsidRDefault="00000000" w:rsidRPr="00000000" w14:paraId="000000B7">
      <w:pPr>
        <w:pStyle w:val="Heading1"/>
        <w:numPr>
          <w:ilvl w:val="0"/>
          <w:numId w:val="1"/>
        </w:numPr>
        <w:ind w:left="432" w:hanging="432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  <w:t xml:space="preserve">Рекомендации для самостоятельной работы студентов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  <w:t xml:space="preserve">Материально-техническое и программное обеспечение дисциплины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keepLines w:val="1"/>
        <w:spacing w:after="240" w:lineRule="auto"/>
        <w:ind w:left="432" w:hanging="432"/>
        <w:jc w:val="both"/>
        <w:rPr/>
      </w:pPr>
      <w:r w:rsidDel="00000000" w:rsidR="00000000" w:rsidRPr="00000000">
        <w:rPr>
          <w:rtl w:val="0"/>
        </w:rPr>
        <w:t xml:space="preserve">12. Особенности организации обучения для лиц с ограниченными возможностями здоровья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/>
      </w:pPr>
      <w:r w:rsidDel="00000000" w:rsidR="00000000" w:rsidRPr="00000000">
        <w:rPr>
          <w:rtl w:val="0"/>
        </w:rPr>
        <w:tab/>
        <w:t xml:space="preserve">1) </w:t>
      </w:r>
      <w:r w:rsidDel="00000000" w:rsidR="00000000" w:rsidRPr="00000000">
        <w:rPr>
          <w:i w:val="1"/>
          <w:rtl w:val="0"/>
        </w:rPr>
        <w:t xml:space="preserve">для лиц с нарушениями зрения</w:t>
      </w:r>
      <w:r w:rsidDel="00000000" w:rsidR="00000000" w:rsidRPr="00000000">
        <w:rPr>
          <w:rtl w:val="0"/>
        </w:rPr>
        <w:t xml:space="preserve">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000000" w:rsidDel="00000000" w:rsidP="00000000" w:rsidRDefault="00000000" w:rsidRPr="00000000" w14:paraId="000000C0">
      <w:pPr>
        <w:jc w:val="both"/>
        <w:rPr/>
      </w:pPr>
      <w:r w:rsidDel="00000000" w:rsidR="00000000" w:rsidRPr="00000000">
        <w:rPr>
          <w:rtl w:val="0"/>
        </w:rPr>
        <w:tab/>
        <w:t xml:space="preserve">2) </w:t>
      </w:r>
      <w:r w:rsidDel="00000000" w:rsidR="00000000" w:rsidRPr="00000000">
        <w:rPr>
          <w:i w:val="1"/>
          <w:rtl w:val="0"/>
        </w:rPr>
        <w:t xml:space="preserve">для лиц с нарушениями слуха</w:t>
      </w:r>
      <w:r w:rsidDel="00000000" w:rsidR="00000000" w:rsidRPr="00000000">
        <w:rPr>
          <w:rtl w:val="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000000" w:rsidDel="00000000" w:rsidP="00000000" w:rsidRDefault="00000000" w:rsidRPr="00000000" w14:paraId="000000C1">
      <w:pPr>
        <w:jc w:val="both"/>
        <w:rPr/>
      </w:pPr>
      <w:r w:rsidDel="00000000" w:rsidR="00000000" w:rsidRPr="00000000">
        <w:rPr>
          <w:rtl w:val="0"/>
        </w:rPr>
        <w:tab/>
        <w:t xml:space="preserve">3</w:t>
      </w:r>
      <w:r w:rsidDel="00000000" w:rsidR="00000000" w:rsidRPr="00000000">
        <w:rPr>
          <w:i w:val="1"/>
          <w:rtl w:val="0"/>
        </w:rPr>
        <w:t xml:space="preserve">) для лиц с нарушениями опорно-двигательного аппарата</w:t>
      </w:r>
      <w:r w:rsidDel="00000000" w:rsidR="00000000" w:rsidRPr="00000000">
        <w:rPr>
          <w:rtl w:val="0"/>
        </w:rPr>
        <w:t xml:space="preserve">: в печатной форме; в форме электронного документа; в форме аудиофайла; индивидуальные задания и консультации.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851" w:top="851" w:left="1134" w:right="851" w:header="709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031.0" w:type="dxa"/>
      <w:jc w:val="left"/>
      <w:tblInd w:w="0.0" w:type="dxa"/>
      <w:tblBorders>
        <w:top w:color="a6a6a6" w:space="0" w:sz="4" w:val="single"/>
        <w:left w:color="a6a6a6" w:space="0" w:sz="4" w:val="single"/>
        <w:bottom w:color="a6a6a6" w:space="0" w:sz="4" w:val="single"/>
        <w:right w:color="a6a6a6" w:space="0" w:sz="4" w:val="single"/>
      </w:tblBorders>
      <w:tblLayout w:type="fixed"/>
      <w:tblLook w:val="0400"/>
    </w:tblPr>
    <w:tblGrid>
      <w:gridCol w:w="875"/>
      <w:gridCol w:w="9156"/>
      <w:tblGridChange w:id="0">
        <w:tblGrid>
          <w:gridCol w:w="875"/>
          <w:gridCol w:w="9156"/>
        </w:tblGrid>
      </w:tblGridChange>
    </w:tblGrid>
    <w:tr>
      <w:tc>
        <w:tcPr/>
        <w:p w:rsidR="00000000" w:rsidDel="00000000" w:rsidP="00000000" w:rsidRDefault="00000000" w:rsidRPr="00000000" w14:paraId="000000C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18465" cy="452755"/>
                <wp:effectExtent b="0" l="0" r="0" t="0"/>
                <wp:docPr descr=" " id="1" name="image1.png"/>
                <a:graphic>
                  <a:graphicData uri="http://schemas.openxmlformats.org/drawingml/2006/picture">
                    <pic:pic>
                      <pic:nvPicPr>
                        <pic:cNvPr descr=" 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465" cy="4527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5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НИУ ВШЭ – Санкт-Петербург</w:t>
            <w:br w:type="textWrapping"/>
            <w:t xml:space="preserve">Рабочая программа дисциплины </w:t>
          </w:r>
          <w:r w:rsidDel="00000000" w:rsidR="00000000" w:rsidRPr="00000000">
            <w:rPr>
              <w:rtl w:val="0"/>
            </w:rPr>
            <w:t xml:space="preserve">Архивная практика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для направления </w:t>
            <w:br w:type="textWrapping"/>
          </w:r>
          <w:r w:rsidDel="00000000" w:rsidR="00000000" w:rsidRPr="00000000">
            <w:rPr>
              <w:rtl w:val="0"/>
            </w:rPr>
            <w:t xml:space="preserve">46.03.01 История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подготовки бакалавра </w:t>
          </w:r>
        </w:p>
      </w:tc>
    </w:tr>
  </w:tbl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314.0" w:type="dxa"/>
      <w:jc w:val="left"/>
      <w:tblInd w:w="0.0" w:type="dxa"/>
      <w:tblBorders>
        <w:top w:color="a6a6a6" w:space="0" w:sz="4" w:val="single"/>
        <w:left w:color="a6a6a6" w:space="0" w:sz="4" w:val="single"/>
        <w:bottom w:color="a6a6a6" w:space="0" w:sz="4" w:val="single"/>
        <w:right w:color="a6a6a6" w:space="0" w:sz="4" w:val="single"/>
      </w:tblBorders>
      <w:tblLayout w:type="fixed"/>
      <w:tblLook w:val="0400"/>
    </w:tblPr>
    <w:tblGrid>
      <w:gridCol w:w="875"/>
      <w:gridCol w:w="9439"/>
      <w:tblGridChange w:id="0">
        <w:tblGrid>
          <w:gridCol w:w="875"/>
          <w:gridCol w:w="9439"/>
        </w:tblGrid>
      </w:tblGridChange>
    </w:tblGrid>
    <w:tr>
      <w:tc>
        <w:tcPr/>
        <w:p w:rsidR="00000000" w:rsidDel="00000000" w:rsidP="00000000" w:rsidRDefault="00000000" w:rsidRPr="00000000" w14:paraId="000000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18465" cy="452755"/>
                <wp:effectExtent b="0" l="0" r="0" t="0"/>
                <wp:docPr descr=" " id="2" name="image1.png"/>
                <a:graphic>
                  <a:graphicData uri="http://schemas.openxmlformats.org/drawingml/2006/picture">
                    <pic:pic>
                      <pic:nvPicPr>
                        <pic:cNvPr descr=" 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465" cy="4527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A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Национальный исследовательский университет «Высшая школа экономики»</w:t>
            <w:br w:type="textWrapping"/>
            <w:t xml:space="preserve">Программа дисциплины Архивная практика для направления/ специальности 46.03.01 История подготовки бакалавра/ магистра/ специалиста</w:t>
          </w:r>
        </w:p>
      </w:tc>
    </w:tr>
  </w:tbl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"/>
      <w:lvlJc w:val="left"/>
      <w:pPr>
        <w:ind w:left="432" w:hanging="432"/>
      </w:pPr>
      <w:rPr>
        <w:b w:val="1"/>
      </w:rPr>
    </w:lvl>
    <w:lvl w:ilvl="1">
      <w:start w:val="2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b w:val="1"/>
      </w:rPr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120" w:lineRule="auto"/>
      <w:ind w:left="576" w:hanging="576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policy.ru/" TargetMode="External"/><Relationship Id="rId9" Type="http://schemas.openxmlformats.org/officeDocument/2006/relationships/hyperlink" Target="http://spb.hse.ru/ba/hist/documents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