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8D65" w14:textId="549C4321" w:rsidR="00B712F5" w:rsidRPr="00F42978" w:rsidRDefault="00605153" w:rsidP="00B44C07">
      <w:pPr>
        <w:jc w:val="center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Temporary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CB09D3">
        <w:rPr>
          <w:rFonts w:ascii="Times New Roman" w:hAnsi="Times New Roman" w:cs="Times New Roman"/>
          <w:sz w:val="28"/>
          <w:szCs w:val="26"/>
          <w:lang w:val="en-US"/>
        </w:rPr>
        <w:t xml:space="preserve">Tuition </w:t>
      </w:r>
      <w:r>
        <w:rPr>
          <w:rFonts w:ascii="Times New Roman" w:hAnsi="Times New Roman" w:cs="Times New Roman"/>
          <w:sz w:val="28"/>
          <w:szCs w:val="26"/>
          <w:lang w:val="en-US"/>
        </w:rPr>
        <w:t>Payment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en-US"/>
        </w:rPr>
        <w:t>Procedure</w:t>
      </w:r>
      <w:r w:rsidR="00F42978">
        <w:rPr>
          <w:rFonts w:ascii="Times New Roman" w:hAnsi="Times New Roman" w:cs="Times New Roman"/>
          <w:sz w:val="28"/>
          <w:szCs w:val="26"/>
          <w:lang w:val="en-US"/>
        </w:rPr>
        <w:t>s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en-US"/>
        </w:rPr>
        <w:t>for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en-US"/>
        </w:rPr>
        <w:t>International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en-US"/>
        </w:rPr>
        <w:t>Students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en-US"/>
        </w:rPr>
        <w:t>Staying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en-US"/>
        </w:rPr>
        <w:t>Outside</w:t>
      </w:r>
      <w:r w:rsidRPr="00F42978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D11A45">
        <w:rPr>
          <w:rFonts w:ascii="Times New Roman" w:hAnsi="Times New Roman" w:cs="Times New Roman"/>
          <w:sz w:val="28"/>
          <w:szCs w:val="26"/>
          <w:lang w:val="en-US"/>
        </w:rPr>
        <w:t xml:space="preserve">of 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Russia </w:t>
      </w:r>
    </w:p>
    <w:p w14:paraId="25E6506E" w14:textId="77777777" w:rsidR="003E67DA" w:rsidRPr="00F42978" w:rsidRDefault="003E67DA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FA865CE" w14:textId="18EEC3F2" w:rsidR="00B712F5" w:rsidRPr="00F42978" w:rsidRDefault="00A6599C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As a consequence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sanctions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imposed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Russia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financial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system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international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who are currently outside of the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Russia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n Federation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face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difficulties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while</w:t>
      </w:r>
      <w:r w:rsidR="00F42978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using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cards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issued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global</w:t>
      </w:r>
      <w:r w:rsidR="00F42978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payment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2D50">
        <w:rPr>
          <w:rFonts w:ascii="Times New Roman" w:hAnsi="Times New Roman" w:cs="Times New Roman"/>
          <w:sz w:val="26"/>
          <w:szCs w:val="26"/>
          <w:lang w:val="en-US"/>
        </w:rPr>
        <w:t>systems</w:t>
      </w:r>
      <w:r w:rsidR="00E8295B">
        <w:rPr>
          <w:rFonts w:ascii="Times New Roman" w:hAnsi="Times New Roman" w:cs="Times New Roman"/>
          <w:sz w:val="26"/>
          <w:szCs w:val="26"/>
          <w:lang w:val="en-US"/>
        </w:rPr>
        <w:t xml:space="preserve"> for</w:t>
      </w:r>
      <w:r w:rsidR="004E2D50" w:rsidRPr="00E829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11A45">
        <w:rPr>
          <w:rFonts w:ascii="Times New Roman" w:hAnsi="Times New Roman" w:cs="Times New Roman"/>
          <w:sz w:val="26"/>
          <w:szCs w:val="26"/>
          <w:lang w:val="en-US"/>
        </w:rPr>
        <w:t xml:space="preserve">tuition </w:t>
      </w:r>
      <w:r w:rsidR="00E8295B">
        <w:rPr>
          <w:rFonts w:ascii="Times New Roman" w:hAnsi="Times New Roman" w:cs="Times New Roman"/>
          <w:sz w:val="26"/>
          <w:szCs w:val="26"/>
          <w:lang w:val="en-US"/>
        </w:rPr>
        <w:t xml:space="preserve">payments under their educational agreements. </w:t>
      </w:r>
    </w:p>
    <w:p w14:paraId="4A563B25" w14:textId="693CCA39" w:rsidR="005865AA" w:rsidRPr="00A6599C" w:rsidRDefault="00A6599C" w:rsidP="005865A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43BA4">
        <w:rPr>
          <w:rFonts w:ascii="Times New Roman" w:hAnsi="Times New Roman" w:cs="Times New Roman"/>
          <w:sz w:val="26"/>
          <w:szCs w:val="26"/>
          <w:lang w:val="en-US"/>
        </w:rPr>
        <w:t xml:space="preserve">As a result of </w:t>
      </w:r>
      <w:r w:rsidR="00F42978" w:rsidRPr="00A43BA4">
        <w:rPr>
          <w:rFonts w:ascii="Times New Roman" w:hAnsi="Times New Roman" w:cs="Times New Roman"/>
          <w:sz w:val="26"/>
          <w:szCs w:val="26"/>
          <w:lang w:val="en-US"/>
        </w:rPr>
        <w:t xml:space="preserve">these </w:t>
      </w:r>
      <w:r w:rsidRPr="00A43BA4">
        <w:rPr>
          <w:rFonts w:ascii="Times New Roman" w:hAnsi="Times New Roman" w:cs="Times New Roman"/>
          <w:sz w:val="26"/>
          <w:szCs w:val="26"/>
          <w:lang w:val="en-US"/>
        </w:rPr>
        <w:t xml:space="preserve">sanctions, </w:t>
      </w:r>
      <w:r w:rsidR="00A43BA4">
        <w:rPr>
          <w:rFonts w:ascii="Times New Roman" w:hAnsi="Times New Roman" w:cs="Times New Roman"/>
          <w:sz w:val="26"/>
          <w:szCs w:val="26"/>
          <w:lang w:val="en-US"/>
        </w:rPr>
        <w:t>merchant acquiring operations are no longer possible</w:t>
      </w:r>
      <w:r w:rsidR="00A43BA4" w:rsidRPr="00A43B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43BA4">
        <w:rPr>
          <w:rFonts w:ascii="Times New Roman" w:hAnsi="Times New Roman" w:cs="Times New Roman"/>
          <w:sz w:val="26"/>
          <w:szCs w:val="26"/>
          <w:lang w:val="en-US"/>
        </w:rPr>
        <w:t>involving</w:t>
      </w:r>
      <w:r w:rsidR="00F42978" w:rsidRPr="00A43BA4">
        <w:rPr>
          <w:rFonts w:ascii="Times New Roman" w:hAnsi="Times New Roman" w:cs="Times New Roman"/>
          <w:sz w:val="26"/>
          <w:szCs w:val="26"/>
          <w:lang w:val="en-US"/>
        </w:rPr>
        <w:t xml:space="preserve"> cards issued </w:t>
      </w:r>
      <w:r w:rsidR="000627A8" w:rsidRPr="00A43BA4">
        <w:rPr>
          <w:rFonts w:ascii="Times New Roman" w:hAnsi="Times New Roman" w:cs="Times New Roman"/>
          <w:sz w:val="26"/>
          <w:szCs w:val="26"/>
          <w:lang w:val="en-US"/>
        </w:rPr>
        <w:t xml:space="preserve">by </w:t>
      </w:r>
      <w:r w:rsidR="00F42978" w:rsidRPr="00A43BA4">
        <w:rPr>
          <w:rFonts w:ascii="Times New Roman" w:hAnsi="Times New Roman" w:cs="Times New Roman"/>
          <w:sz w:val="26"/>
          <w:szCs w:val="26"/>
          <w:lang w:val="en-US"/>
        </w:rPr>
        <w:t xml:space="preserve">global </w:t>
      </w:r>
      <w:r w:rsidRPr="00A43BA4">
        <w:rPr>
          <w:rFonts w:ascii="Times New Roman" w:hAnsi="Times New Roman" w:cs="Times New Roman"/>
          <w:sz w:val="26"/>
          <w:szCs w:val="26"/>
          <w:lang w:val="en-US"/>
        </w:rPr>
        <w:t>payment systems.</w:t>
      </w:r>
      <w:r w:rsidRPr="00E374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37417">
        <w:rPr>
          <w:rFonts w:ascii="Times New Roman" w:hAnsi="Times New Roman" w:cs="Times New Roman"/>
          <w:sz w:val="26"/>
          <w:szCs w:val="26"/>
          <w:lang w:val="en-US"/>
        </w:rPr>
        <w:t>However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payments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can still be made </w:t>
      </w:r>
      <w:r w:rsidR="000627A8">
        <w:rPr>
          <w:rFonts w:ascii="Times New Roman" w:hAnsi="Times New Roman" w:cs="Times New Roman"/>
          <w:sz w:val="26"/>
          <w:szCs w:val="26"/>
          <w:lang w:val="en-US"/>
        </w:rPr>
        <w:t xml:space="preserve">with </w:t>
      </w:r>
      <w:r w:rsidR="000627A8" w:rsidRPr="00A6599C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MIR</w:t>
      </w:r>
      <w:r w:rsidR="00F42978"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payment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cards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if funds are being transferred from the following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countries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A6599C">
        <w:rPr>
          <w:lang w:val="en-US"/>
        </w:rPr>
        <w:t xml:space="preserve"> 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Turkey, Vietnam, Armenia, Belarus, Kazakhstan, Kyrgyzstan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Pr="00A6599C">
        <w:rPr>
          <w:rFonts w:ascii="Times New Roman" w:hAnsi="Times New Roman" w:cs="Times New Roman"/>
          <w:sz w:val="26"/>
          <w:szCs w:val="26"/>
          <w:lang w:val="en-US"/>
        </w:rPr>
        <w:t xml:space="preserve">Tajikistan. </w:t>
      </w:r>
    </w:p>
    <w:p w14:paraId="6927D3D4" w14:textId="77777777" w:rsidR="005865AA" w:rsidRPr="00A6599C" w:rsidRDefault="005865AA" w:rsidP="005865AA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7F6609B" w14:textId="5C26E065" w:rsidR="00177790" w:rsidRPr="00F42978" w:rsidRDefault="000E2B8F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E2B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0E2B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end</w:t>
      </w:r>
      <w:r w:rsidRPr="000E2B8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the following</w:t>
      </w:r>
      <w:r w:rsidRPr="000E2B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E2B8F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temporary payment procedure</w:t>
      </w:r>
      <w:r w:rsidR="00F4297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s</w:t>
      </w:r>
      <w:r w:rsidRPr="000E2B8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b/>
          <w:sz w:val="26"/>
          <w:szCs w:val="26"/>
          <w:lang w:val="en-US"/>
        </w:rPr>
        <w:t>are in place for</w:t>
      </w:r>
      <w:r w:rsidRPr="000E2B8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international students staying outside </w:t>
      </w:r>
      <w:r w:rsidR="00F42978">
        <w:rPr>
          <w:rFonts w:ascii="Times New Roman" w:hAnsi="Times New Roman" w:cs="Times New Roman"/>
          <w:b/>
          <w:sz w:val="26"/>
          <w:szCs w:val="26"/>
          <w:lang w:val="en-US"/>
        </w:rPr>
        <w:t xml:space="preserve">of </w:t>
      </w:r>
      <w:r w:rsidRPr="000E2B8F">
        <w:rPr>
          <w:rFonts w:ascii="Times New Roman" w:hAnsi="Times New Roman" w:cs="Times New Roman"/>
          <w:b/>
          <w:sz w:val="26"/>
          <w:szCs w:val="26"/>
          <w:lang w:val="en-US"/>
        </w:rPr>
        <w:t>Russia.</w:t>
      </w:r>
      <w:r w:rsidRPr="000E2B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1E4E611" w14:textId="30D0EAE2" w:rsidR="00177790" w:rsidRPr="00F42978" w:rsidRDefault="000E2B8F" w:rsidP="00477F1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You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can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make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payments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by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wire</w:t>
      </w:r>
      <w:r w:rsidR="005308E5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transfer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to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HSE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University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>’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currency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account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EUR</w:t>
      </w:r>
      <w:r w:rsidR="00D217B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</w:t>
      </w:r>
      <w:r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USD</w:t>
      </w:r>
      <w:r w:rsidR="00D217B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</w:t>
      </w:r>
      <w:r w:rsidR="00C11B4C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b/>
          <w:sz w:val="26"/>
          <w:szCs w:val="26"/>
          <w:lang w:val="en-US"/>
        </w:rPr>
        <w:t>the</w:t>
      </w:r>
      <w:r w:rsidR="00C11B4C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b/>
          <w:sz w:val="26"/>
          <w:szCs w:val="26"/>
          <w:lang w:val="en-US"/>
        </w:rPr>
        <w:t>amount</w:t>
      </w:r>
      <w:r w:rsidR="00C11B4C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b/>
          <w:sz w:val="26"/>
          <w:szCs w:val="26"/>
          <w:lang w:val="en-US"/>
        </w:rPr>
        <w:t>fixed</w:t>
      </w:r>
      <w:r w:rsidR="00C11B4C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="00C11B4C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b/>
          <w:sz w:val="26"/>
          <w:szCs w:val="26"/>
          <w:lang w:val="en-US"/>
        </w:rPr>
        <w:t>your</w:t>
      </w:r>
      <w:r w:rsidR="00C11B4C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b/>
          <w:sz w:val="26"/>
          <w:szCs w:val="26"/>
          <w:lang w:val="en-US"/>
        </w:rPr>
        <w:t>educational agreement.</w:t>
      </w:r>
      <w:r w:rsidR="00C11B4C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308E5" w:rsidRPr="00C11B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455ABFCA" w14:textId="232AF70E" w:rsidR="0003346F" w:rsidRPr="00F42978" w:rsidRDefault="00F42978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make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payment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43BA4">
        <w:rPr>
          <w:rFonts w:ascii="Times New Roman" w:hAnsi="Times New Roman" w:cs="Times New Roman"/>
          <w:sz w:val="26"/>
          <w:szCs w:val="26"/>
          <w:lang w:val="en-US"/>
        </w:rPr>
        <w:t>contact</w:t>
      </w:r>
      <w:r w:rsidR="00A43BA4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bank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where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they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account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submit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application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international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wire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transfer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 xml:space="preserve">University. </w:t>
      </w:r>
    </w:p>
    <w:p w14:paraId="457C8944" w14:textId="21BA3926" w:rsidR="0063632D" w:rsidRPr="00E37417" w:rsidRDefault="00F42978" w:rsidP="00E37417">
      <w:pPr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More information about HSE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University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>’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foreign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currency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banking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details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is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available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on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Accounting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Office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>’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website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at</w:t>
      </w:r>
      <w:r w:rsidR="00C11B4C" w:rsidRPr="00C11B4C">
        <w:rPr>
          <w:rFonts w:ascii="Times New Roman" w:hAnsi="Times New Roman" w:cs="Times New Roman"/>
          <w:i/>
          <w:sz w:val="26"/>
          <w:szCs w:val="26"/>
          <w:lang w:val="en-US"/>
        </w:rPr>
        <w:t>:</w:t>
      </w:r>
      <w:r w:rsidR="00E3741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hyperlink r:id="rId8" w:history="1">
        <w:r w:rsidR="0063632D" w:rsidRPr="00C11B4C">
          <w:rPr>
            <w:rStyle w:val="ab"/>
            <w:rFonts w:ascii="Times New Roman" w:hAnsi="Times New Roman" w:cs="Times New Roman"/>
            <w:i/>
            <w:sz w:val="26"/>
            <w:szCs w:val="26"/>
            <w:lang w:val="en-US"/>
          </w:rPr>
          <w:t>https://www.hse.ru/org/hse/aup/ubu/financialflows/bankdetails</w:t>
        </w:r>
      </w:hyperlink>
      <w:r w:rsidR="0063632D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At the moment,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the </w:t>
      </w:r>
      <w:r w:rsidR="000627A8">
        <w:rPr>
          <w:rFonts w:ascii="Times New Roman" w:hAnsi="Times New Roman" w:cs="Times New Roman"/>
          <w:i/>
          <w:sz w:val="26"/>
          <w:szCs w:val="26"/>
          <w:lang w:val="en-US"/>
        </w:rPr>
        <w:t xml:space="preserve">University’s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accounts in </w:t>
      </w:r>
      <w:proofErr w:type="spellStart"/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Sberbank</w:t>
      </w:r>
      <w:proofErr w:type="spellEnd"/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of Russia can be used. This information will be updated as soon as </w:t>
      </w:r>
      <w:r w:rsidR="00E37417">
        <w:rPr>
          <w:rFonts w:ascii="Times New Roman" w:hAnsi="Times New Roman" w:cs="Times New Roman"/>
          <w:i/>
          <w:sz w:val="26"/>
          <w:szCs w:val="26"/>
          <w:lang w:val="en-US"/>
        </w:rPr>
        <w:t xml:space="preserve">more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accounts 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 xml:space="preserve">are opened </w:t>
      </w:r>
      <w:r w:rsidR="00C11B4C">
        <w:rPr>
          <w:rFonts w:ascii="Times New Roman" w:hAnsi="Times New Roman" w:cs="Times New Roman"/>
          <w:i/>
          <w:sz w:val="26"/>
          <w:szCs w:val="26"/>
          <w:lang w:val="en-US"/>
        </w:rPr>
        <w:t>in other banks</w:t>
      </w:r>
      <w:r w:rsidR="0063632D" w:rsidRPr="00C11B4C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</w:p>
    <w:p w14:paraId="55AAE139" w14:textId="218B98B8" w:rsidR="005C10B1" w:rsidRPr="00C11B4C" w:rsidRDefault="00F42978" w:rsidP="005C10B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Total payment amount in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foreign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currency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must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calculated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using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exchange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rate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Central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Bank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Russia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CBR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exchange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rate</w:t>
      </w:r>
      <w:r w:rsidR="00C11B4C" w:rsidRPr="00C11B4C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95734E">
        <w:rPr>
          <w:rStyle w:val="af1"/>
          <w:rFonts w:ascii="Times New Roman" w:hAnsi="Times New Roman" w:cs="Times New Roman"/>
          <w:sz w:val="26"/>
          <w:szCs w:val="26"/>
        </w:rPr>
        <w:footnoteReference w:id="1"/>
      </w:r>
      <w:r w:rsidR="005C10B1" w:rsidRPr="00C11B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11B4C">
        <w:rPr>
          <w:rFonts w:ascii="Times New Roman" w:hAnsi="Times New Roman" w:cs="Times New Roman"/>
          <w:sz w:val="26"/>
          <w:szCs w:val="26"/>
          <w:lang w:val="en-US"/>
        </w:rPr>
        <w:t>valid as at the payment date, as follows</w:t>
      </w:r>
      <w:r w:rsidR="005C10B1" w:rsidRPr="00C11B4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78F3AA6" w14:textId="47E5AE1A" w:rsidR="00134C04" w:rsidRPr="00A92211" w:rsidRDefault="00F42978" w:rsidP="00EE71E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E.g.,</w:t>
      </w:r>
      <w:r w:rsidR="00EE71EA"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if the 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>tuition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amount</w:t>
      </w:r>
      <w:r w:rsid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under your educational agreement comes to RUB 2</w:t>
      </w:r>
      <w:r w:rsidR="000D1D48" w:rsidRPr="00A92211">
        <w:rPr>
          <w:rFonts w:ascii="Times New Roman" w:hAnsi="Times New Roman" w:cs="Times New Roman"/>
          <w:i/>
          <w:sz w:val="26"/>
          <w:szCs w:val="26"/>
          <w:lang w:val="en-US"/>
        </w:rPr>
        <w:t>00</w:t>
      </w:r>
      <w:r w:rsidR="00A92211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  <w:r w:rsidR="000D1D48" w:rsidRPr="00A92211">
        <w:rPr>
          <w:rFonts w:ascii="Times New Roman" w:hAnsi="Times New Roman" w:cs="Times New Roman"/>
          <w:i/>
          <w:sz w:val="26"/>
          <w:szCs w:val="26"/>
          <w:lang w:val="en-US"/>
        </w:rPr>
        <w:t>000</w:t>
      </w:r>
      <w:r w:rsidR="00A9221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="000D1D48" w:rsidRPr="00A92211">
        <w:rPr>
          <w:rFonts w:ascii="Times New Roman" w:hAnsi="Times New Roman" w:cs="Times New Roman"/>
          <w:i/>
          <w:sz w:val="26"/>
          <w:szCs w:val="26"/>
          <w:lang w:val="en-US"/>
        </w:rPr>
        <w:t>00</w:t>
      </w:r>
      <w:r w:rsidR="00A92211">
        <w:rPr>
          <w:rFonts w:ascii="Times New Roman" w:hAnsi="Times New Roman" w:cs="Times New Roman"/>
          <w:i/>
          <w:sz w:val="26"/>
          <w:szCs w:val="26"/>
          <w:lang w:val="en-US"/>
        </w:rPr>
        <w:t>, and the CBR exchange rates as at the payment date are</w:t>
      </w:r>
      <w:r w:rsidR="00134C04" w:rsidRPr="00A92211">
        <w:rPr>
          <w:rFonts w:ascii="Times New Roman" w:hAnsi="Times New Roman" w:cs="Times New Roman"/>
          <w:i/>
          <w:sz w:val="26"/>
          <w:szCs w:val="26"/>
          <w:lang w:val="en-US"/>
        </w:rPr>
        <w:t>:</w:t>
      </w:r>
    </w:p>
    <w:p w14:paraId="6CC9BE34" w14:textId="69710A38" w:rsidR="005C10B1" w:rsidRPr="00A92211" w:rsidRDefault="00A92211" w:rsidP="00134C04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1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EUR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=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128</w:t>
      </w:r>
      <w:r w:rsidRPr="00A9221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>9523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RUB</w:t>
      </w:r>
      <w:r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; 1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USD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=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116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.7517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RUB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; 1 GBP</w:t>
      </w:r>
      <w:r w:rsidR="00134C04"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=</w:t>
      </w:r>
      <w:r w:rsidR="00134C04" w:rsidRPr="00A9221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>153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>5635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RUB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; and 1 RMB = 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>18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="005C10B1" w:rsidRPr="00A92211">
        <w:rPr>
          <w:rFonts w:ascii="Times New Roman" w:hAnsi="Times New Roman" w:cs="Times New Roman"/>
          <w:i/>
          <w:sz w:val="26"/>
          <w:szCs w:val="26"/>
          <w:lang w:val="en-US"/>
        </w:rPr>
        <w:t>4678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RUB</w:t>
      </w:r>
      <w:r w:rsidR="0056512A" w:rsidRPr="00A92211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  <w:r w:rsidR="00A45D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respectively,</w:t>
      </w:r>
    </w:p>
    <w:p w14:paraId="1292D12C" w14:textId="1CFA9B3B" w:rsidR="005C10B1" w:rsidRPr="00A92211" w:rsidRDefault="00A92211" w:rsidP="00A9221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the</w:t>
      </w:r>
      <w:r w:rsidR="005C10B1" w:rsidRPr="00A9221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payment amount in a </w:t>
      </w:r>
      <w:r w:rsidR="00F42978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respective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foreign currency shall be as follows: </w:t>
      </w:r>
    </w:p>
    <w:p w14:paraId="256F3743" w14:textId="30A1E308" w:rsidR="005C10B1" w:rsidRPr="00F42978" w:rsidRDefault="00A9221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EUR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>,150.96 (200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>000.00 / 128.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9523);</w:t>
      </w:r>
    </w:p>
    <w:p w14:paraId="36A7DA9C" w14:textId="4D8F77D5" w:rsidR="005C10B1" w:rsidRPr="00F42978" w:rsidRDefault="00A9221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USD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1,713.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04 (200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000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>.00 / 116.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7517);</w:t>
      </w:r>
    </w:p>
    <w:p w14:paraId="607A6145" w14:textId="13F4FCA0" w:rsidR="005C10B1" w:rsidRPr="00F42978" w:rsidRDefault="00A9221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GBP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1,302.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39 (200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000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>.00 / 153.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5635);</w:t>
      </w:r>
    </w:p>
    <w:p w14:paraId="51F282A9" w14:textId="388C3C39" w:rsidR="005C10B1" w:rsidRPr="00F42978" w:rsidRDefault="00A9221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RMB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10,829.66 (200</w:t>
      </w:r>
      <w:r w:rsidR="00791F6A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>000.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 xml:space="preserve">00 / </w:t>
      </w:r>
      <w:r w:rsidRPr="00F42978">
        <w:rPr>
          <w:rFonts w:ascii="Times New Roman" w:hAnsi="Times New Roman" w:cs="Times New Roman"/>
          <w:i/>
          <w:sz w:val="26"/>
          <w:szCs w:val="26"/>
          <w:lang w:val="en-US"/>
        </w:rPr>
        <w:t>18.</w:t>
      </w:r>
      <w:r w:rsidR="005C10B1" w:rsidRPr="00F42978">
        <w:rPr>
          <w:rFonts w:ascii="Times New Roman" w:hAnsi="Times New Roman" w:cs="Times New Roman"/>
          <w:i/>
          <w:sz w:val="26"/>
          <w:szCs w:val="26"/>
          <w:lang w:val="en-US"/>
        </w:rPr>
        <w:t>4678).</w:t>
      </w:r>
    </w:p>
    <w:p w14:paraId="5F8B6B21" w14:textId="77777777" w:rsidR="0095734E" w:rsidRPr="00F42978" w:rsidRDefault="0095734E" w:rsidP="00177790">
      <w:pPr>
        <w:ind w:firstLine="709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299B3BF" w14:textId="0EA8F1B5" w:rsidR="00753AA3" w:rsidRPr="00D17847" w:rsidRDefault="00D17847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D178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must </w:t>
      </w:r>
      <w:r>
        <w:rPr>
          <w:rFonts w:ascii="Times New Roman" w:hAnsi="Times New Roman" w:cs="Times New Roman"/>
          <w:sz w:val="26"/>
          <w:szCs w:val="26"/>
          <w:lang w:val="en-US"/>
        </w:rPr>
        <w:t>cover</w:t>
      </w:r>
      <w:r w:rsidRPr="00D178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bank</w:t>
      </w:r>
      <w:r w:rsidRPr="00D178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charges (if any)</w:t>
      </w:r>
      <w:r w:rsidR="00753AA3" w:rsidRPr="00D1784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 their own expense</w:t>
      </w:r>
      <w:r w:rsidR="00753AA3" w:rsidRPr="00D1784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D91694C" w14:textId="76EF3616" w:rsidR="001E1311" w:rsidRPr="00F42978" w:rsidRDefault="00D17847" w:rsidP="008F09A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rouble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equivalent of each payment shall be calculated at the CBR exchange rate as at the date when the funds are credited to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HSE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University’s transit account.  </w:t>
      </w:r>
    </w:p>
    <w:p w14:paraId="2E816A52" w14:textId="65A0DD35" w:rsidR="00E00ADA" w:rsidRPr="00F42978" w:rsidRDefault="00D17847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Within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10 </w:t>
      </w:r>
      <w:r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days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after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funds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credited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transit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payment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account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Accounting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will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inform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about total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funds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received</w:t>
      </w:r>
      <w:r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in payment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 for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their tuition fees. </w:t>
      </w:r>
    </w:p>
    <w:p w14:paraId="35D890E0" w14:textId="351AA720" w:rsidR="0095734E" w:rsidRPr="002B350E" w:rsidRDefault="008B245A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Students will be informed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about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balance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between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total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funds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received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amounts in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B350E">
        <w:rPr>
          <w:rFonts w:ascii="Times New Roman" w:hAnsi="Times New Roman" w:cs="Times New Roman"/>
          <w:sz w:val="26"/>
          <w:szCs w:val="26"/>
          <w:lang w:val="en-US"/>
        </w:rPr>
        <w:t>roubles</w:t>
      </w:r>
      <w:proofErr w:type="spellEnd"/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specified in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agreements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e.g.,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any overpaid/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underpaid amounts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2B350E" w:rsidRPr="002B350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In case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overpayment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this amount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can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be put toward</w:t>
      </w:r>
      <w:r w:rsidR="00791F6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 tuition for</w:t>
      </w:r>
      <w:r w:rsidR="002B350E">
        <w:rPr>
          <w:rFonts w:ascii="Times New Roman" w:hAnsi="Times New Roman" w:cs="Times New Roman"/>
          <w:sz w:val="26"/>
          <w:szCs w:val="26"/>
          <w:lang w:val="en-US"/>
        </w:rPr>
        <w:t xml:space="preserve"> future periods of study. </w:t>
      </w:r>
    </w:p>
    <w:p w14:paraId="503AA6FC" w14:textId="2AD95701" w:rsidR="000D1D48" w:rsidRPr="007356EA" w:rsidRDefault="007356EA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overpayment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can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also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91F6A">
        <w:rPr>
          <w:rFonts w:ascii="Times New Roman" w:hAnsi="Times New Roman" w:cs="Times New Roman"/>
          <w:sz w:val="26"/>
          <w:szCs w:val="26"/>
          <w:lang w:val="en-US"/>
        </w:rPr>
        <w:t>refunded</w:t>
      </w:r>
      <w:r w:rsidR="00791F6A"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upon a student’s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request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, as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submitted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9" w:history="1">
        <w:r w:rsidR="00D217B7" w:rsidRPr="00BD4A33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peo</w:t>
        </w:r>
        <w:r w:rsidR="00D217B7" w:rsidRPr="00D217B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_</w:t>
        </w:r>
        <w:r w:rsidR="00D217B7" w:rsidRPr="00BD4A33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spb</w:t>
        </w:r>
        <w:r w:rsidR="00D217B7" w:rsidRPr="00D217B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@hse.ru</w:t>
        </w:r>
      </w:hyperlink>
      <w:r w:rsidR="00791F6A">
        <w:rPr>
          <w:rStyle w:val="ab"/>
          <w:rFonts w:ascii="Times New Roman" w:hAnsi="Times New Roman" w:cs="Times New Roman"/>
          <w:sz w:val="26"/>
          <w:szCs w:val="26"/>
          <w:lang w:val="en-US"/>
        </w:rPr>
        <w:t>,</w:t>
      </w:r>
      <w:r w:rsidR="000D1D48"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 all details required for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refund provided. </w:t>
      </w:r>
    </w:p>
    <w:p w14:paraId="7524E191" w14:textId="33ACDF82" w:rsidR="000D1D48" w:rsidRPr="007356EA" w:rsidRDefault="007356EA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 following details must be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91F6A">
        <w:rPr>
          <w:rFonts w:ascii="Times New Roman" w:hAnsi="Times New Roman" w:cs="Times New Roman"/>
          <w:sz w:val="26"/>
          <w:szCs w:val="26"/>
          <w:lang w:val="en-US"/>
        </w:rPr>
        <w:t>specified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 xml:space="preserve"> in an application </w:t>
      </w:r>
      <w:r w:rsidR="00791F6A">
        <w:rPr>
          <w:rFonts w:ascii="Times New Roman" w:hAnsi="Times New Roman" w:cs="Times New Roman"/>
          <w:sz w:val="26"/>
          <w:szCs w:val="26"/>
          <w:lang w:val="en-US"/>
        </w:rPr>
        <w:t xml:space="preserve">for a </w:t>
      </w:r>
      <w:r w:rsidR="00F42978">
        <w:rPr>
          <w:rFonts w:ascii="Times New Roman" w:hAnsi="Times New Roman" w:cs="Times New Roman"/>
          <w:sz w:val="26"/>
          <w:szCs w:val="26"/>
          <w:lang w:val="en-US"/>
        </w:rPr>
        <w:t>refund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22EE7795" w14:textId="1094FBF8" w:rsidR="000D1D48" w:rsidRPr="003B17AC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beneficiary’s full name</w:t>
      </w:r>
      <w:r w:rsidR="002C5065" w:rsidRPr="003B17AC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316E4501" w14:textId="6E487861" w:rsidR="0095734E" w:rsidRPr="003B17AC" w:rsidRDefault="0095734E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details of the agreement</w:t>
      </w:r>
      <w:r w:rsidR="002C5065" w:rsidRPr="003B17AC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6E5A01D7" w14:textId="1747C478" w:rsidR="000D1D48" w:rsidRPr="003B17AC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full</w:t>
      </w:r>
      <w:r w:rsidR="003B17AC"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name</w:t>
      </w:r>
      <w:r w:rsidR="003B17AC"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of</w:t>
      </w:r>
      <w:r w:rsidR="003B17AC"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="003B17AC"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beneficiary</w:t>
      </w:r>
      <w:r w:rsidR="003B17AC" w:rsidRPr="003B17AC">
        <w:rPr>
          <w:rFonts w:ascii="Times New Roman" w:hAnsi="Times New Roman" w:cs="Times New Roman"/>
          <w:i/>
          <w:sz w:val="26"/>
          <w:szCs w:val="26"/>
          <w:lang w:val="en-US"/>
        </w:rPr>
        <w:t>’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="003B17AC"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bank</w:t>
      </w:r>
      <w:r w:rsidR="003B17AC"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a foreign bank)</w:t>
      </w:r>
      <w:r w:rsidR="002C5065" w:rsidRPr="003B17AC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0E058414" w14:textId="448A2AF7" w:rsidR="00293132" w:rsidRPr="003B17AC" w:rsidRDefault="000D1D48" w:rsidP="00900B59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foreign bank’s address</w:t>
      </w:r>
      <w:r w:rsidRPr="003B17AC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04A8A732" w14:textId="315A6865" w:rsidR="000D1D48" w:rsidRPr="003B17AC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foreign bank’s </w:t>
      </w:r>
      <w:r w:rsidR="00900B59">
        <w:rPr>
          <w:rFonts w:ascii="Times New Roman" w:hAnsi="Times New Roman" w:cs="Times New Roman"/>
          <w:i/>
          <w:sz w:val="26"/>
          <w:szCs w:val="26"/>
          <w:lang w:val="en-US"/>
        </w:rPr>
        <w:t>SWIFT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(BIC)</w:t>
      </w:r>
      <w:r w:rsidRPr="003B17AC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5522D7EB" w14:textId="2A0B6081" w:rsidR="000D1D48" w:rsidRPr="00EE71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IBAN </w:t>
      </w:r>
      <w:r w:rsidR="003B17AC">
        <w:rPr>
          <w:rFonts w:ascii="Times New Roman" w:hAnsi="Times New Roman" w:cs="Times New Roman"/>
          <w:i/>
          <w:sz w:val="26"/>
          <w:szCs w:val="26"/>
          <w:lang w:val="en-US"/>
        </w:rPr>
        <w:t>or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Account number;</w:t>
      </w:r>
    </w:p>
    <w:p w14:paraId="34C23966" w14:textId="0A076063" w:rsidR="000D1D48" w:rsidRPr="00E37417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37417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0627A8">
        <w:rPr>
          <w:rFonts w:ascii="Times New Roman" w:hAnsi="Times New Roman" w:cs="Times New Roman"/>
          <w:i/>
          <w:sz w:val="26"/>
          <w:szCs w:val="26"/>
          <w:lang w:val="en-US"/>
        </w:rPr>
        <w:t>b</w:t>
      </w:r>
      <w:r w:rsidR="000627A8" w:rsidRPr="00E37417">
        <w:rPr>
          <w:rFonts w:ascii="Times New Roman" w:hAnsi="Times New Roman" w:cs="Times New Roman"/>
          <w:i/>
          <w:sz w:val="26"/>
          <w:szCs w:val="26"/>
          <w:lang w:val="en-US"/>
        </w:rPr>
        <w:t xml:space="preserve">ank </w:t>
      </w:r>
      <w:r w:rsidRPr="00E37417">
        <w:rPr>
          <w:rFonts w:ascii="Times New Roman" w:hAnsi="Times New Roman" w:cs="Times New Roman"/>
          <w:i/>
          <w:sz w:val="26"/>
          <w:szCs w:val="26"/>
          <w:lang w:val="en-US"/>
        </w:rPr>
        <w:t>card number.</w:t>
      </w:r>
      <w:bookmarkStart w:id="0" w:name="_GoBack"/>
      <w:bookmarkEnd w:id="0"/>
    </w:p>
    <w:p w14:paraId="62E3C141" w14:textId="77777777" w:rsidR="007356EA" w:rsidRPr="00E37417" w:rsidRDefault="007356EA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A20CE88" w14:textId="15390271" w:rsidR="000D1D48" w:rsidRPr="007356EA" w:rsidRDefault="007356EA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Details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56EA">
        <w:rPr>
          <w:rFonts w:ascii="Times New Roman" w:hAnsi="Times New Roman" w:cs="Times New Roman"/>
          <w:b/>
          <w:sz w:val="26"/>
          <w:szCs w:val="26"/>
          <w:lang w:val="en-US"/>
        </w:rPr>
        <w:t>a correspondent bank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involved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transaction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904F0">
        <w:rPr>
          <w:rFonts w:ascii="Times New Roman" w:hAnsi="Times New Roman" w:cs="Times New Roman"/>
          <w:sz w:val="26"/>
          <w:szCs w:val="26"/>
          <w:lang w:val="en-US"/>
        </w:rPr>
        <w:t>must be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provided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along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details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356E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56EA">
        <w:rPr>
          <w:rFonts w:ascii="Times New Roman" w:hAnsi="Times New Roman" w:cs="Times New Roman"/>
          <w:b/>
          <w:sz w:val="26"/>
          <w:szCs w:val="26"/>
          <w:lang w:val="en-US"/>
        </w:rPr>
        <w:t>your bank outside Russia</w:t>
      </w:r>
      <w:r w:rsidR="00EE71EA">
        <w:rPr>
          <w:rStyle w:val="af1"/>
          <w:rFonts w:ascii="Times New Roman" w:hAnsi="Times New Roman" w:cs="Times New Roman"/>
          <w:sz w:val="26"/>
          <w:szCs w:val="26"/>
        </w:rPr>
        <w:footnoteReference w:id="2"/>
      </w:r>
      <w:r w:rsidR="000D1D48" w:rsidRPr="007356EA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779FEE07" w14:textId="1201D87A" w:rsidR="000D1D48" w:rsidRPr="007356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356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C5065" w:rsidRPr="007356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56EA" w:rsidRPr="007356EA">
        <w:rPr>
          <w:rFonts w:ascii="Times New Roman" w:hAnsi="Times New Roman" w:cs="Times New Roman"/>
          <w:i/>
          <w:sz w:val="26"/>
          <w:szCs w:val="26"/>
          <w:lang w:val="en-US"/>
        </w:rPr>
        <w:t>full name of a correspondent bank</w:t>
      </w: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4D7B6C57" w14:textId="7E5FD8DD" w:rsidR="000D1D48" w:rsidRPr="007356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7356EA">
        <w:rPr>
          <w:rFonts w:ascii="Times New Roman" w:hAnsi="Times New Roman" w:cs="Times New Roman"/>
          <w:i/>
          <w:sz w:val="26"/>
          <w:szCs w:val="26"/>
          <w:lang w:val="en-US"/>
        </w:rPr>
        <w:t>correspondent bank’s INN</w:t>
      </w: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12F831BB" w14:textId="123B9BD5" w:rsidR="000D1D48" w:rsidRPr="007356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7356EA">
        <w:rPr>
          <w:rFonts w:ascii="Times New Roman" w:hAnsi="Times New Roman" w:cs="Times New Roman"/>
          <w:i/>
          <w:sz w:val="26"/>
          <w:szCs w:val="26"/>
          <w:lang w:val="en-US"/>
        </w:rPr>
        <w:t>correspondent bank’s KPP</w:t>
      </w: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56988A88" w14:textId="029232E9" w:rsidR="000D1D48" w:rsidRPr="007356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7356EA">
        <w:rPr>
          <w:rFonts w:ascii="Times New Roman" w:hAnsi="Times New Roman" w:cs="Times New Roman"/>
          <w:i/>
          <w:sz w:val="26"/>
          <w:szCs w:val="26"/>
          <w:lang w:val="en-US"/>
        </w:rPr>
        <w:t>correspondent bank’s BIC</w:t>
      </w: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>;</w:t>
      </w:r>
    </w:p>
    <w:p w14:paraId="350754B4" w14:textId="4813B017" w:rsidR="000D1D48" w:rsidRPr="007356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7356EA">
        <w:rPr>
          <w:rFonts w:ascii="Times New Roman" w:hAnsi="Times New Roman" w:cs="Times New Roman"/>
          <w:i/>
          <w:sz w:val="26"/>
          <w:szCs w:val="26"/>
          <w:lang w:val="en-US"/>
        </w:rPr>
        <w:t>payment account of a correspondent bank;</w:t>
      </w:r>
    </w:p>
    <w:p w14:paraId="75495A4C" w14:textId="27CF5640" w:rsidR="000D1D48" w:rsidRPr="007356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r w:rsidR="007356EA">
        <w:rPr>
          <w:rFonts w:ascii="Times New Roman" w:hAnsi="Times New Roman" w:cs="Times New Roman"/>
          <w:i/>
          <w:sz w:val="26"/>
          <w:szCs w:val="26"/>
          <w:lang w:val="en-US"/>
        </w:rPr>
        <w:t>correspondent account of a correspondent bank</w:t>
      </w:r>
      <w:r w:rsidRPr="007356E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14:paraId="1A1A1ECE" w14:textId="77777777" w:rsidR="000D1D48" w:rsidRPr="007356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771C8ECA" w14:textId="32C8FA0B" w:rsidR="00104853" w:rsidRPr="00F42978" w:rsidRDefault="00963001" w:rsidP="002F0426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underpayment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due and payable according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1904F0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information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provided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 by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Accounting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can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B245A">
        <w:rPr>
          <w:rFonts w:ascii="Times New Roman" w:hAnsi="Times New Roman" w:cs="Times New Roman"/>
          <w:sz w:val="26"/>
          <w:szCs w:val="26"/>
          <w:lang w:val="en-US"/>
        </w:rPr>
        <w:t>compensated with</w:t>
      </w:r>
      <w:r w:rsidR="001904F0">
        <w:rPr>
          <w:rFonts w:ascii="Times New Roman" w:hAnsi="Times New Roman" w:cs="Times New Roman"/>
          <w:sz w:val="26"/>
          <w:szCs w:val="26"/>
          <w:lang w:val="en-US"/>
        </w:rPr>
        <w:t xml:space="preserve"> the next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wire transfer, </w:t>
      </w:r>
      <w:r w:rsidR="008B245A">
        <w:rPr>
          <w:rFonts w:ascii="Times New Roman" w:hAnsi="Times New Roman" w:cs="Times New Roman"/>
          <w:sz w:val="26"/>
          <w:szCs w:val="26"/>
          <w:lang w:val="en-US"/>
        </w:rPr>
        <w:t xml:space="preserve">made </w:t>
      </w:r>
      <w:r>
        <w:rPr>
          <w:rFonts w:ascii="Times New Roman" w:hAnsi="Times New Roman" w:cs="Times New Roman"/>
          <w:sz w:val="26"/>
          <w:szCs w:val="26"/>
          <w:lang w:val="en-US"/>
        </w:rPr>
        <w:t>as per the terms and conditions of the</w:t>
      </w:r>
      <w:r w:rsidR="001904F0">
        <w:rPr>
          <w:rFonts w:ascii="Times New Roman" w:hAnsi="Times New Roman" w:cs="Times New Roman"/>
          <w:sz w:val="26"/>
          <w:szCs w:val="26"/>
          <w:lang w:val="en-US"/>
        </w:rPr>
        <w:t>ir educational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agreement, </w:t>
      </w:r>
      <w:r w:rsidR="001904F0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pursuant to the above-mentioned procedure.  </w:t>
      </w:r>
      <w:r w:rsidRPr="0096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104853" w:rsidRPr="00F42978" w:rsidSect="00134C04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66BD" w14:textId="77777777" w:rsidR="009C7E63" w:rsidRDefault="009C7E63" w:rsidP="00753AA3">
      <w:pPr>
        <w:spacing w:after="0" w:line="240" w:lineRule="auto"/>
      </w:pPr>
      <w:r>
        <w:separator/>
      </w:r>
    </w:p>
  </w:endnote>
  <w:endnote w:type="continuationSeparator" w:id="0">
    <w:p w14:paraId="2EB0611B" w14:textId="77777777" w:rsidR="009C7E63" w:rsidRDefault="009C7E63" w:rsidP="0075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ED02" w14:textId="77777777" w:rsidR="009C7E63" w:rsidRDefault="009C7E63" w:rsidP="00753AA3">
      <w:pPr>
        <w:spacing w:after="0" w:line="240" w:lineRule="auto"/>
      </w:pPr>
      <w:r>
        <w:separator/>
      </w:r>
    </w:p>
  </w:footnote>
  <w:footnote w:type="continuationSeparator" w:id="0">
    <w:p w14:paraId="4871578D" w14:textId="77777777" w:rsidR="009C7E63" w:rsidRDefault="009C7E63" w:rsidP="00753AA3">
      <w:pPr>
        <w:spacing w:after="0" w:line="240" w:lineRule="auto"/>
      </w:pPr>
      <w:r>
        <w:continuationSeparator/>
      </w:r>
    </w:p>
  </w:footnote>
  <w:footnote w:id="1">
    <w:p w14:paraId="77607DAC" w14:textId="632D58A7" w:rsidR="0095734E" w:rsidRPr="00C11B4C" w:rsidRDefault="0095734E" w:rsidP="009D6A7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5734E">
        <w:rPr>
          <w:rStyle w:val="af1"/>
          <w:sz w:val="20"/>
          <w:szCs w:val="20"/>
        </w:rPr>
        <w:footnoteRef/>
      </w:r>
      <w:r w:rsidRPr="00C11B4C">
        <w:rPr>
          <w:sz w:val="20"/>
          <w:szCs w:val="20"/>
          <w:lang w:val="en-US"/>
        </w:rPr>
        <w:t xml:space="preserve"> </w:t>
      </w:r>
      <w:r w:rsidR="00C11B4C">
        <w:rPr>
          <w:rFonts w:ascii="Times New Roman" w:hAnsi="Times New Roman" w:cs="Times New Roman"/>
          <w:sz w:val="20"/>
          <w:szCs w:val="20"/>
          <w:lang w:val="en-US"/>
        </w:rPr>
        <w:t>Information</w:t>
      </w:r>
      <w:r w:rsidR="00C11B4C" w:rsidRPr="00C11B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11B4C">
        <w:rPr>
          <w:rFonts w:ascii="Times New Roman" w:hAnsi="Times New Roman" w:cs="Times New Roman"/>
          <w:sz w:val="20"/>
          <w:szCs w:val="20"/>
          <w:lang w:val="en-US"/>
        </w:rPr>
        <w:t>about exchange rates is available on the CBR website at</w:t>
      </w:r>
      <w:r w:rsidRPr="00C11B4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" w:history="1">
        <w:r w:rsidRPr="00C11B4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https://www.cbr.ru/currency_base/daily/</w:t>
        </w:r>
      </w:hyperlink>
      <w:r w:rsidRPr="00C11B4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4BC21C21" w14:textId="77777777" w:rsidR="0095734E" w:rsidRPr="00C11B4C" w:rsidRDefault="0095734E">
      <w:pPr>
        <w:pStyle w:val="af"/>
        <w:rPr>
          <w:lang w:val="en-US"/>
        </w:rPr>
      </w:pPr>
    </w:p>
  </w:footnote>
  <w:footnote w:id="2">
    <w:p w14:paraId="70BE0683" w14:textId="60D16D94" w:rsidR="00EE71EA" w:rsidRPr="007356EA" w:rsidRDefault="00EE71EA">
      <w:pPr>
        <w:pStyle w:val="af"/>
        <w:rPr>
          <w:rFonts w:ascii="Times New Roman" w:hAnsi="Times New Roman" w:cs="Times New Roman"/>
          <w:lang w:val="en-US"/>
        </w:rPr>
      </w:pPr>
      <w:r w:rsidRPr="00036F99">
        <w:rPr>
          <w:rStyle w:val="af1"/>
          <w:rFonts w:ascii="Times New Roman" w:hAnsi="Times New Roman" w:cs="Times New Roman"/>
        </w:rPr>
        <w:footnoteRef/>
      </w:r>
      <w:r w:rsidR="007356EA" w:rsidRPr="007356EA">
        <w:rPr>
          <w:rFonts w:ascii="Times New Roman" w:hAnsi="Times New Roman" w:cs="Times New Roman"/>
          <w:lang w:val="en-US"/>
        </w:rPr>
        <w:t xml:space="preserve"> </w:t>
      </w:r>
      <w:r w:rsidR="007356EA">
        <w:rPr>
          <w:rFonts w:ascii="Times New Roman" w:hAnsi="Times New Roman" w:cs="Times New Roman"/>
          <w:lang w:val="en-US"/>
        </w:rPr>
        <w:t>This</w:t>
      </w:r>
      <w:r w:rsidR="007356EA" w:rsidRPr="007356EA">
        <w:rPr>
          <w:rFonts w:ascii="Times New Roman" w:hAnsi="Times New Roman" w:cs="Times New Roman"/>
          <w:lang w:val="en-US"/>
        </w:rPr>
        <w:t xml:space="preserve"> </w:t>
      </w:r>
      <w:r w:rsidR="007356EA">
        <w:rPr>
          <w:rFonts w:ascii="Times New Roman" w:hAnsi="Times New Roman" w:cs="Times New Roman"/>
          <w:lang w:val="en-US"/>
        </w:rPr>
        <w:t xml:space="preserve">information shall be provided by the bank where the student holds an account.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C82"/>
    <w:multiLevelType w:val="hybridMultilevel"/>
    <w:tmpl w:val="BF64EEA4"/>
    <w:lvl w:ilvl="0" w:tplc="ADE6C9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DB3687"/>
    <w:multiLevelType w:val="hybridMultilevel"/>
    <w:tmpl w:val="52668024"/>
    <w:lvl w:ilvl="0" w:tplc="5A9C8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ED"/>
    <w:rsid w:val="0002186B"/>
    <w:rsid w:val="000253DC"/>
    <w:rsid w:val="0003346F"/>
    <w:rsid w:val="00035FD0"/>
    <w:rsid w:val="00036F99"/>
    <w:rsid w:val="000627A8"/>
    <w:rsid w:val="00087AD5"/>
    <w:rsid w:val="000D1D48"/>
    <w:rsid w:val="000E2B8F"/>
    <w:rsid w:val="000E353A"/>
    <w:rsid w:val="00104853"/>
    <w:rsid w:val="00107DB5"/>
    <w:rsid w:val="00122D2A"/>
    <w:rsid w:val="00134C04"/>
    <w:rsid w:val="00175903"/>
    <w:rsid w:val="00177790"/>
    <w:rsid w:val="001904F0"/>
    <w:rsid w:val="001A029A"/>
    <w:rsid w:val="001E1311"/>
    <w:rsid w:val="00227FA0"/>
    <w:rsid w:val="00293132"/>
    <w:rsid w:val="002B350E"/>
    <w:rsid w:val="002C5065"/>
    <w:rsid w:val="002D4B94"/>
    <w:rsid w:val="002F0426"/>
    <w:rsid w:val="00322CD5"/>
    <w:rsid w:val="003B17AC"/>
    <w:rsid w:val="003C7836"/>
    <w:rsid w:val="003E67DA"/>
    <w:rsid w:val="00477F18"/>
    <w:rsid w:val="004E2D50"/>
    <w:rsid w:val="00522A86"/>
    <w:rsid w:val="0052527A"/>
    <w:rsid w:val="005308E5"/>
    <w:rsid w:val="0056512A"/>
    <w:rsid w:val="00575B40"/>
    <w:rsid w:val="005865AA"/>
    <w:rsid w:val="005C10B1"/>
    <w:rsid w:val="005D43F7"/>
    <w:rsid w:val="005F0205"/>
    <w:rsid w:val="00605153"/>
    <w:rsid w:val="0063455B"/>
    <w:rsid w:val="0063632D"/>
    <w:rsid w:val="00650FDA"/>
    <w:rsid w:val="00660A24"/>
    <w:rsid w:val="006955C4"/>
    <w:rsid w:val="00696CC1"/>
    <w:rsid w:val="006F5A4C"/>
    <w:rsid w:val="007356EA"/>
    <w:rsid w:val="00741346"/>
    <w:rsid w:val="00753AA3"/>
    <w:rsid w:val="007574A4"/>
    <w:rsid w:val="007866AF"/>
    <w:rsid w:val="00791F6A"/>
    <w:rsid w:val="00796AED"/>
    <w:rsid w:val="008B245A"/>
    <w:rsid w:val="008F09AC"/>
    <w:rsid w:val="00900B59"/>
    <w:rsid w:val="0095734E"/>
    <w:rsid w:val="00963001"/>
    <w:rsid w:val="00974DD3"/>
    <w:rsid w:val="009C772C"/>
    <w:rsid w:val="009C7E63"/>
    <w:rsid w:val="009D6A7F"/>
    <w:rsid w:val="009E37D0"/>
    <w:rsid w:val="00A23553"/>
    <w:rsid w:val="00A43BA4"/>
    <w:rsid w:val="00A45D39"/>
    <w:rsid w:val="00A6599C"/>
    <w:rsid w:val="00A92211"/>
    <w:rsid w:val="00AB12CD"/>
    <w:rsid w:val="00B35760"/>
    <w:rsid w:val="00B44C07"/>
    <w:rsid w:val="00B712F5"/>
    <w:rsid w:val="00B812CE"/>
    <w:rsid w:val="00B90719"/>
    <w:rsid w:val="00BF0EE4"/>
    <w:rsid w:val="00C11B4C"/>
    <w:rsid w:val="00C373CA"/>
    <w:rsid w:val="00C5625B"/>
    <w:rsid w:val="00CB09D3"/>
    <w:rsid w:val="00D11A45"/>
    <w:rsid w:val="00D17847"/>
    <w:rsid w:val="00D217B7"/>
    <w:rsid w:val="00E00ADA"/>
    <w:rsid w:val="00E37417"/>
    <w:rsid w:val="00E67B14"/>
    <w:rsid w:val="00E8295B"/>
    <w:rsid w:val="00EA0E8F"/>
    <w:rsid w:val="00EB0103"/>
    <w:rsid w:val="00EE71EA"/>
    <w:rsid w:val="00EF12ED"/>
    <w:rsid w:val="00F42978"/>
    <w:rsid w:val="00F66602"/>
    <w:rsid w:val="00F720C7"/>
    <w:rsid w:val="00F759C5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DA3A"/>
  <w15:docId w15:val="{3572A873-2CE1-461C-B5C6-54000D46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779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73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73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73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73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73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3C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77F18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53A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53A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53AA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53AA3"/>
    <w:rPr>
      <w:vertAlign w:val="superscript"/>
    </w:rPr>
  </w:style>
  <w:style w:type="paragraph" w:styleId="af2">
    <w:name w:val="Body Text"/>
    <w:basedOn w:val="a"/>
    <w:link w:val="af3"/>
    <w:uiPriority w:val="1"/>
    <w:qFormat/>
    <w:rsid w:val="000D1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0D1D4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C1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936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5250">
          <w:marLeft w:val="2606"/>
          <w:marRight w:val="26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aup/ubu/financialflows/bank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o_spb@hse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r.ru/currency_base/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668999-8B4E-4CD3-961D-7F237E6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Елена Валерьевна</dc:creator>
  <cp:lastModifiedBy>Яковлева Дарья Владимировна</cp:lastModifiedBy>
  <cp:revision>2</cp:revision>
  <cp:lastPrinted>2022-03-17T13:58:00Z</cp:lastPrinted>
  <dcterms:created xsi:type="dcterms:W3CDTF">2022-03-17T14:09:00Z</dcterms:created>
  <dcterms:modified xsi:type="dcterms:W3CDTF">2022-03-17T14:09:00Z</dcterms:modified>
</cp:coreProperties>
</file>