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82" w:rsidRPr="001F3FC3" w:rsidRDefault="00ED0582" w:rsidP="00310F63">
      <w:pPr>
        <w:jc w:val="both"/>
        <w:rPr>
          <w:sz w:val="26"/>
          <w:szCs w:val="26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02"/>
        <w:gridCol w:w="859"/>
        <w:gridCol w:w="2550"/>
      </w:tblGrid>
      <w:tr w:rsidR="00B306FE" w:rsidRPr="001F3FC3" w:rsidTr="007E5036">
        <w:tc>
          <w:tcPr>
            <w:tcW w:w="1843" w:type="dxa"/>
            <w:hideMark/>
          </w:tcPr>
          <w:p w:rsidR="00B306FE" w:rsidRPr="00310F63" w:rsidRDefault="00310F63" w:rsidP="007E5036">
            <w:pPr>
              <w:jc w:val="both"/>
              <w:rPr>
                <w:sz w:val="26"/>
                <w:szCs w:val="26"/>
                <w:lang w:val="en-US"/>
              </w:rPr>
            </w:pPr>
            <w:r w:rsidRPr="006D59A5">
              <w:rPr>
                <w:sz w:val="26"/>
                <w:szCs w:val="26"/>
                <w:lang w:val="en-US"/>
              </w:rPr>
              <w:t>Head of the State Exam Committee: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06FE" w:rsidRPr="00310F63" w:rsidRDefault="001F3FC3" w:rsidP="00420557">
            <w:pPr>
              <w:jc w:val="both"/>
              <w:rPr>
                <w:sz w:val="26"/>
                <w:szCs w:val="26"/>
                <w:lang w:val="en-US"/>
              </w:rPr>
            </w:pPr>
            <w:r w:rsidRPr="001F3FC3">
              <w:rPr>
                <w:sz w:val="26"/>
                <w:szCs w:val="26"/>
                <w:lang w:val="en-US"/>
              </w:rPr>
              <w:t>Doctor of Sociology, Professor of the Department of Theory and History of Sociology, Faculty of Sociology, St. Petersburg State University</w:t>
            </w:r>
          </w:p>
        </w:tc>
        <w:tc>
          <w:tcPr>
            <w:tcW w:w="859" w:type="dxa"/>
          </w:tcPr>
          <w:p w:rsidR="00B306FE" w:rsidRPr="00310F63" w:rsidRDefault="00B306FE" w:rsidP="007E5036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06FE" w:rsidRPr="001F3FC3" w:rsidRDefault="001F3FC3" w:rsidP="007E503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Ivanov D.V. </w:t>
            </w:r>
          </w:p>
        </w:tc>
      </w:tr>
      <w:tr w:rsidR="00D82FD5" w:rsidRPr="001F3FC3" w:rsidTr="00B8523D">
        <w:tc>
          <w:tcPr>
            <w:tcW w:w="1843" w:type="dxa"/>
          </w:tcPr>
          <w:p w:rsidR="00D82FD5" w:rsidRPr="001F3FC3" w:rsidRDefault="00310F63" w:rsidP="00D82FD5">
            <w:pPr>
              <w:jc w:val="both"/>
              <w:rPr>
                <w:sz w:val="26"/>
                <w:szCs w:val="26"/>
                <w:lang w:val="en-US"/>
              </w:rPr>
            </w:pPr>
            <w:r w:rsidRPr="006D59A5">
              <w:rPr>
                <w:sz w:val="26"/>
                <w:szCs w:val="26"/>
                <w:lang w:val="en-US"/>
              </w:rPr>
              <w:t>State Exam Committee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310F63" w:rsidRDefault="001F3FC3" w:rsidP="00D82FD5">
            <w:pPr>
              <w:jc w:val="both"/>
              <w:rPr>
                <w:sz w:val="26"/>
                <w:szCs w:val="26"/>
                <w:lang w:val="en-US"/>
              </w:rPr>
            </w:pPr>
            <w:r w:rsidRPr="001F3FC3">
              <w:rPr>
                <w:sz w:val="26"/>
                <w:szCs w:val="26"/>
                <w:lang w:val="en-US"/>
              </w:rPr>
              <w:t xml:space="preserve">Candidate of Biological Sciences, </w:t>
            </w:r>
            <w:r w:rsidR="00760B8B">
              <w:rPr>
                <w:sz w:val="26"/>
                <w:szCs w:val="26"/>
                <w:lang w:val="en-US"/>
              </w:rPr>
              <w:t xml:space="preserve">Associate </w:t>
            </w:r>
            <w:r w:rsidRPr="001F3FC3">
              <w:rPr>
                <w:sz w:val="26"/>
                <w:szCs w:val="26"/>
                <w:lang w:val="en-US"/>
              </w:rPr>
              <w:t xml:space="preserve">Professor of the Department of Sociology, </w:t>
            </w:r>
            <w:r w:rsidR="00760B8B" w:rsidRPr="00D80E3E">
              <w:rPr>
                <w:sz w:val="26"/>
                <w:szCs w:val="26"/>
                <w:lang w:val="en"/>
              </w:rPr>
              <w:t>St. Petersburg School of Social Sciences</w:t>
            </w:r>
            <w:r w:rsidR="00760B8B">
              <w:rPr>
                <w:sz w:val="26"/>
                <w:szCs w:val="26"/>
                <w:lang w:val="en"/>
              </w:rPr>
              <w:t>,</w:t>
            </w:r>
            <w:r w:rsidR="00760B8B" w:rsidRPr="001F3FC3">
              <w:rPr>
                <w:sz w:val="26"/>
                <w:szCs w:val="26"/>
                <w:lang w:val="en-US"/>
              </w:rPr>
              <w:t xml:space="preserve"> </w:t>
            </w:r>
            <w:r w:rsidRPr="001F3FC3">
              <w:rPr>
                <w:sz w:val="26"/>
                <w:szCs w:val="26"/>
                <w:lang w:val="en-US"/>
              </w:rPr>
              <w:t>National Research University Higher School of Economics - St. Petersburg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267" w:rsidRPr="00760B8B" w:rsidRDefault="00760B8B" w:rsidP="00845267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760B8B">
              <w:rPr>
                <w:rFonts w:eastAsiaTheme="minorEastAsia"/>
                <w:sz w:val="26"/>
                <w:szCs w:val="26"/>
                <w:lang w:val="en-US" w:eastAsia="zh-CN"/>
              </w:rPr>
              <w:t>Ivaniushina</w:t>
            </w:r>
            <w:proofErr w:type="spellEnd"/>
            <w:r w:rsidRPr="00760B8B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V.A.</w:t>
            </w:r>
          </w:p>
        </w:tc>
      </w:tr>
      <w:tr w:rsidR="00D82FD5" w:rsidTr="00B8523D">
        <w:tc>
          <w:tcPr>
            <w:tcW w:w="1843" w:type="dxa"/>
            <w:hideMark/>
          </w:tcPr>
          <w:p w:rsidR="00D82FD5" w:rsidRPr="001F3FC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FD5" w:rsidRPr="001F3FC3" w:rsidRDefault="00760B8B" w:rsidP="00D82FD5">
            <w:pPr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-US"/>
              </w:rPr>
              <w:t>Candidate of Sciences in</w:t>
            </w:r>
            <w:r w:rsidRPr="00D80E3E">
              <w:rPr>
                <w:sz w:val="26"/>
                <w:szCs w:val="26"/>
                <w:lang w:val="en"/>
              </w:rPr>
              <w:t xml:space="preserve"> Political Science</w:t>
            </w:r>
            <w:r>
              <w:rPr>
                <w:sz w:val="26"/>
                <w:szCs w:val="26"/>
                <w:lang w:val="en"/>
              </w:rPr>
              <w:t>s</w:t>
            </w:r>
            <w:r w:rsidRPr="00D80E3E">
              <w:rPr>
                <w:sz w:val="26"/>
                <w:szCs w:val="26"/>
                <w:lang w:val="en"/>
              </w:rPr>
              <w:t xml:space="preserve">, </w:t>
            </w:r>
            <w:r>
              <w:rPr>
                <w:sz w:val="26"/>
                <w:szCs w:val="26"/>
                <w:lang w:val="en"/>
              </w:rPr>
              <w:t>Associate professor</w:t>
            </w:r>
            <w:r w:rsidRPr="00D80E3E">
              <w:rPr>
                <w:sz w:val="26"/>
                <w:szCs w:val="26"/>
                <w:lang w:val="en"/>
              </w:rPr>
              <w:t xml:space="preserve"> at the Department of Political Science and International Relations, Academic Supervisor of the Program "Data Analysis for the State and Society"</w:t>
            </w:r>
            <w:r>
              <w:rPr>
                <w:sz w:val="26"/>
                <w:szCs w:val="26"/>
                <w:lang w:val="en"/>
              </w:rPr>
              <w:t xml:space="preserve">, </w:t>
            </w:r>
            <w:r w:rsidRPr="00D80E3E">
              <w:rPr>
                <w:sz w:val="26"/>
                <w:szCs w:val="26"/>
                <w:lang w:val="en"/>
              </w:rPr>
              <w:t>St. Petersburg School of Social Sciences, National Research University Higher School of Economics - St. Petersburg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1F3FC3" w:rsidRDefault="001F3FC3" w:rsidP="00D82FD5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Sorbale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A.B.</w:t>
            </w:r>
          </w:p>
        </w:tc>
      </w:tr>
      <w:tr w:rsidR="00D82FD5" w:rsidRPr="00E44684" w:rsidTr="00B8523D">
        <w:tc>
          <w:tcPr>
            <w:tcW w:w="1843" w:type="dxa"/>
          </w:tcPr>
          <w:p w:rsidR="00D82FD5" w:rsidRDefault="00D82FD5" w:rsidP="00D82F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E44684" w:rsidRDefault="00E44684" w:rsidP="00E4468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"/>
              </w:rPr>
              <w:t xml:space="preserve">Senior Consultant, Sustainable Development Services Delivering </w:t>
            </w:r>
            <w:r>
              <w:rPr>
                <w:sz w:val="26"/>
                <w:szCs w:val="26"/>
                <w:lang w:val="en-US"/>
              </w:rPr>
              <w:t xml:space="preserve">division, Department of Management </w:t>
            </w:r>
            <w:proofErr w:type="spellStart"/>
            <w:r>
              <w:rPr>
                <w:sz w:val="26"/>
                <w:szCs w:val="26"/>
                <w:lang w:val="en-US"/>
              </w:rPr>
              <w:t>Counsulting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E44684">
              <w:rPr>
                <w:sz w:val="26"/>
                <w:szCs w:val="26"/>
                <w:lang w:val="en-US"/>
              </w:rPr>
              <w:t>JSC Business Solutions and Technologies</w:t>
            </w:r>
            <w:r>
              <w:rPr>
                <w:sz w:val="26"/>
                <w:szCs w:val="26"/>
                <w:lang w:val="en-US"/>
              </w:rPr>
              <w:t>, St. Petersburg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E44684" w:rsidRDefault="00E44684" w:rsidP="001F3FC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 w:eastAsia="zh-CN"/>
              </w:rPr>
              <w:t>Chekalenko</w:t>
            </w:r>
            <w:proofErr w:type="spellEnd"/>
            <w:r>
              <w:rPr>
                <w:rFonts w:eastAsiaTheme="minorEastAsia"/>
                <w:sz w:val="26"/>
                <w:szCs w:val="26"/>
                <w:lang w:val="en-US" w:eastAsia="zh-CN"/>
              </w:rPr>
              <w:t xml:space="preserve"> A.</w:t>
            </w:r>
          </w:p>
        </w:tc>
      </w:tr>
      <w:tr w:rsidR="00D82FD5" w:rsidTr="00B8523D">
        <w:tc>
          <w:tcPr>
            <w:tcW w:w="1843" w:type="dxa"/>
          </w:tcPr>
          <w:p w:rsidR="00D82FD5" w:rsidRPr="00E44684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310F63" w:rsidRDefault="00D80E3E" w:rsidP="00845267">
            <w:pPr>
              <w:jc w:val="both"/>
              <w:rPr>
                <w:sz w:val="26"/>
                <w:szCs w:val="26"/>
                <w:lang w:val="en-US"/>
              </w:rPr>
            </w:pPr>
            <w:r w:rsidRPr="00D80E3E">
              <w:rPr>
                <w:sz w:val="26"/>
                <w:szCs w:val="26"/>
                <w:lang w:val="en-US"/>
              </w:rPr>
              <w:t>Deputy Head of the Inspectorate for the Audit of National Objectives of the Research and Methodology Department of the Accounts Chamber of the Russian Federation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D80E3E" w:rsidRDefault="00D80E3E" w:rsidP="00D82FD5">
            <w:pPr>
              <w:jc w:val="both"/>
              <w:rPr>
                <w:rFonts w:eastAsiaTheme="minorEastAsia"/>
                <w:sz w:val="26"/>
                <w:szCs w:val="26"/>
                <w:lang w:val="en-US" w:eastAsia="zh-CN"/>
              </w:rPr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>Kim A.I.</w:t>
            </w:r>
          </w:p>
        </w:tc>
      </w:tr>
      <w:tr w:rsidR="00D82FD5" w:rsidTr="007E5036">
        <w:tc>
          <w:tcPr>
            <w:tcW w:w="1843" w:type="dxa"/>
          </w:tcPr>
          <w:p w:rsidR="00D82FD5" w:rsidRDefault="00D82FD5" w:rsidP="00D82F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310F63" w:rsidRDefault="00E44684" w:rsidP="00310F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"/>
              </w:rPr>
              <w:t xml:space="preserve">Director in Research, Analysis and Special projects, Department of Corporate Relations, </w:t>
            </w:r>
            <w:proofErr w:type="spellStart"/>
            <w:r>
              <w:rPr>
                <w:sz w:val="26"/>
                <w:szCs w:val="26"/>
                <w:lang w:val="en"/>
              </w:rPr>
              <w:t>Yandex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Ltd.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787B60" w:rsidRDefault="00E44684" w:rsidP="00D82FD5">
            <w:pPr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>Ustinov G.S</w:t>
            </w:r>
          </w:p>
        </w:tc>
      </w:tr>
      <w:tr w:rsidR="00760B8B" w:rsidTr="007E5036">
        <w:tc>
          <w:tcPr>
            <w:tcW w:w="1843" w:type="dxa"/>
            <w:hideMark/>
          </w:tcPr>
          <w:p w:rsidR="00760B8B" w:rsidRPr="00310F63" w:rsidRDefault="00760B8B" w:rsidP="00760B8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Secretary </w:t>
            </w:r>
            <w:r w:rsidRPr="00A42DB5">
              <w:rPr>
                <w:sz w:val="26"/>
                <w:szCs w:val="26"/>
                <w:lang w:val="en-US"/>
              </w:rPr>
              <w:t>of the State Exam Committee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0B8B" w:rsidRPr="00310F63" w:rsidRDefault="00760B8B" w:rsidP="00760B8B">
            <w:pPr>
              <w:jc w:val="both"/>
              <w:rPr>
                <w:sz w:val="26"/>
                <w:szCs w:val="26"/>
                <w:lang w:val="en-US"/>
              </w:rPr>
            </w:pPr>
            <w:r w:rsidRPr="00D80E3E">
              <w:rPr>
                <w:sz w:val="26"/>
                <w:szCs w:val="26"/>
                <w:lang w:val="en-US"/>
              </w:rPr>
              <w:t xml:space="preserve">Senior Lecturer, St. Petersburg School of Social Sciences, </w:t>
            </w:r>
            <w:r w:rsidRPr="00D80E3E">
              <w:rPr>
                <w:sz w:val="26"/>
                <w:szCs w:val="26"/>
                <w:lang w:val="en-US"/>
              </w:rPr>
              <w:t>Department</w:t>
            </w:r>
            <w:r w:rsidRPr="00D80E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of </w:t>
            </w:r>
            <w:r w:rsidRPr="00D80E3E">
              <w:rPr>
                <w:sz w:val="26"/>
                <w:szCs w:val="26"/>
                <w:lang w:val="en-US"/>
              </w:rPr>
              <w:t>Political Science and International Relations, National Research University Higher School of Economics - St. Petersburg</w:t>
            </w:r>
          </w:p>
        </w:tc>
        <w:tc>
          <w:tcPr>
            <w:tcW w:w="859" w:type="dxa"/>
          </w:tcPr>
          <w:p w:rsidR="00760B8B" w:rsidRPr="00310F63" w:rsidRDefault="00760B8B" w:rsidP="00760B8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0B8B" w:rsidRPr="00D80E3E" w:rsidRDefault="00760B8B" w:rsidP="00760B8B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Borisenko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M.S.</w:t>
            </w:r>
          </w:p>
        </w:tc>
      </w:tr>
      <w:tr w:rsidR="00D82FD5" w:rsidTr="007E5036">
        <w:tc>
          <w:tcPr>
            <w:tcW w:w="1843" w:type="dxa"/>
          </w:tcPr>
          <w:p w:rsidR="00D82FD5" w:rsidRDefault="00D82FD5" w:rsidP="00D82F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5" w:rsidRDefault="00D82FD5" w:rsidP="00D82FD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9" w:type="dxa"/>
          </w:tcPr>
          <w:p w:rsidR="00D82FD5" w:rsidRDefault="00D82FD5" w:rsidP="00D82FD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5" w:rsidRDefault="00D82FD5" w:rsidP="00D82FD5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FD1C7E" w:rsidRPr="00310F63" w:rsidRDefault="00310F63" w:rsidP="00310F63">
      <w:pPr>
        <w:pStyle w:val="a3"/>
        <w:numPr>
          <w:ilvl w:val="1"/>
          <w:numId w:val="1"/>
        </w:numPr>
        <w:jc w:val="both"/>
        <w:rPr>
          <w:sz w:val="26"/>
          <w:szCs w:val="26"/>
          <w:lang w:val="en-US"/>
        </w:rPr>
      </w:pPr>
      <w:r w:rsidRPr="00310F63">
        <w:rPr>
          <w:sz w:val="26"/>
          <w:szCs w:val="26"/>
          <w:lang w:val="en-US"/>
        </w:rPr>
        <w:t>Local State Exam Committee №1:</w:t>
      </w:r>
    </w:p>
    <w:p w:rsidR="003E2179" w:rsidRPr="00310F63" w:rsidRDefault="003E2179" w:rsidP="00FD1C7E">
      <w:pPr>
        <w:pStyle w:val="a3"/>
        <w:ind w:left="1068"/>
        <w:jc w:val="both"/>
        <w:rPr>
          <w:sz w:val="26"/>
          <w:szCs w:val="26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02"/>
        <w:gridCol w:w="859"/>
        <w:gridCol w:w="2550"/>
      </w:tblGrid>
      <w:tr w:rsidR="00FD1C7E" w:rsidTr="005A70AF">
        <w:tc>
          <w:tcPr>
            <w:tcW w:w="1843" w:type="dxa"/>
            <w:hideMark/>
          </w:tcPr>
          <w:p w:rsidR="00FD1C7E" w:rsidRPr="00310F63" w:rsidRDefault="00310F63" w:rsidP="005A70AF">
            <w:pPr>
              <w:jc w:val="both"/>
              <w:rPr>
                <w:sz w:val="26"/>
                <w:szCs w:val="26"/>
                <w:lang w:val="en-US"/>
              </w:rPr>
            </w:pPr>
            <w:r w:rsidRPr="00A42DB5">
              <w:rPr>
                <w:sz w:val="26"/>
                <w:szCs w:val="26"/>
                <w:lang w:val="en-US"/>
              </w:rPr>
              <w:t xml:space="preserve">Head of the </w:t>
            </w:r>
            <w:r>
              <w:rPr>
                <w:sz w:val="26"/>
                <w:szCs w:val="26"/>
                <w:lang w:val="en-US"/>
              </w:rPr>
              <w:t xml:space="preserve">Local </w:t>
            </w:r>
            <w:r w:rsidRPr="00A42DB5">
              <w:rPr>
                <w:sz w:val="26"/>
                <w:szCs w:val="26"/>
                <w:lang w:val="en-US"/>
              </w:rPr>
              <w:t>State Exam Committee</w:t>
            </w:r>
            <w:r>
              <w:rPr>
                <w:sz w:val="26"/>
                <w:szCs w:val="26"/>
                <w:lang w:val="en-US"/>
              </w:rPr>
              <w:t xml:space="preserve"> №1: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1C7E" w:rsidRPr="00310F63" w:rsidRDefault="00D80E3E" w:rsidP="005A70AF">
            <w:pPr>
              <w:jc w:val="both"/>
              <w:rPr>
                <w:sz w:val="26"/>
                <w:szCs w:val="26"/>
                <w:lang w:val="en-US"/>
              </w:rPr>
            </w:pPr>
            <w:r w:rsidRPr="00D80E3E">
              <w:rPr>
                <w:sz w:val="26"/>
                <w:szCs w:val="26"/>
                <w:lang w:val="en-US"/>
              </w:rPr>
              <w:t>Doctor of Sociology, Professor of the Department of Theory and History of Sociology, Faculty of Sociology, St. Petersburg State University</w:t>
            </w:r>
          </w:p>
        </w:tc>
        <w:tc>
          <w:tcPr>
            <w:tcW w:w="859" w:type="dxa"/>
          </w:tcPr>
          <w:p w:rsidR="00FD1C7E" w:rsidRPr="00310F63" w:rsidRDefault="00FD1C7E" w:rsidP="005A70AF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1C7E" w:rsidRDefault="00D80E3E" w:rsidP="005A70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Ivanov D.V.</w:t>
            </w:r>
          </w:p>
        </w:tc>
      </w:tr>
      <w:tr w:rsidR="00D82FD5" w:rsidTr="005A70AF">
        <w:tc>
          <w:tcPr>
            <w:tcW w:w="1843" w:type="dxa"/>
          </w:tcPr>
          <w:p w:rsidR="00D82FD5" w:rsidRDefault="00310F63" w:rsidP="00D82FD5">
            <w:pPr>
              <w:jc w:val="both"/>
              <w:rPr>
                <w:sz w:val="26"/>
                <w:szCs w:val="26"/>
              </w:rPr>
            </w:pPr>
            <w:proofErr w:type="spellStart"/>
            <w:r w:rsidRPr="00A42DB5">
              <w:rPr>
                <w:sz w:val="26"/>
                <w:szCs w:val="26"/>
              </w:rPr>
              <w:t>Local</w:t>
            </w:r>
            <w:proofErr w:type="spellEnd"/>
            <w:r w:rsidRPr="00A42DB5">
              <w:rPr>
                <w:sz w:val="26"/>
                <w:szCs w:val="26"/>
              </w:rPr>
              <w:t xml:space="preserve"> </w:t>
            </w:r>
            <w:proofErr w:type="spellStart"/>
            <w:r w:rsidRPr="00A42DB5">
              <w:rPr>
                <w:sz w:val="26"/>
                <w:szCs w:val="26"/>
              </w:rPr>
              <w:t>State</w:t>
            </w:r>
            <w:proofErr w:type="spellEnd"/>
            <w:r w:rsidRPr="00A42DB5">
              <w:rPr>
                <w:sz w:val="26"/>
                <w:szCs w:val="26"/>
              </w:rPr>
              <w:t xml:space="preserve"> </w:t>
            </w:r>
            <w:proofErr w:type="spellStart"/>
            <w:r w:rsidRPr="00A42DB5">
              <w:rPr>
                <w:sz w:val="26"/>
                <w:szCs w:val="26"/>
              </w:rPr>
              <w:t>Exam</w:t>
            </w:r>
            <w:proofErr w:type="spellEnd"/>
            <w:r w:rsidRPr="00A42DB5">
              <w:rPr>
                <w:sz w:val="26"/>
                <w:szCs w:val="26"/>
              </w:rPr>
              <w:t xml:space="preserve"> </w:t>
            </w:r>
            <w:proofErr w:type="spellStart"/>
            <w:r w:rsidRPr="00A42DB5">
              <w:rPr>
                <w:sz w:val="26"/>
                <w:szCs w:val="26"/>
              </w:rPr>
              <w:t>Committee</w:t>
            </w:r>
            <w:proofErr w:type="spellEnd"/>
            <w:r w:rsidRPr="00A42DB5">
              <w:rPr>
                <w:sz w:val="26"/>
                <w:szCs w:val="26"/>
              </w:rPr>
              <w:t xml:space="preserve"> №1: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310F63" w:rsidRDefault="00760B8B" w:rsidP="00310F63">
            <w:pPr>
              <w:jc w:val="both"/>
              <w:rPr>
                <w:sz w:val="26"/>
                <w:szCs w:val="26"/>
                <w:lang w:val="en-US"/>
              </w:rPr>
            </w:pPr>
            <w:r w:rsidRPr="00760B8B">
              <w:rPr>
                <w:sz w:val="26"/>
                <w:szCs w:val="26"/>
                <w:lang w:val="en-US"/>
              </w:rPr>
              <w:t>Candidate of Biological Sciences, Associate Professor of the Department of Sociology, St. Petersburg School of Social Sciences, National Research University Higher School of Economics - St. Petersburg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Default="00760B8B" w:rsidP="00D82FD5">
            <w:pPr>
              <w:jc w:val="both"/>
              <w:rPr>
                <w:sz w:val="26"/>
                <w:szCs w:val="26"/>
              </w:rPr>
            </w:pPr>
            <w:proofErr w:type="spellStart"/>
            <w:r w:rsidRPr="00760B8B">
              <w:rPr>
                <w:rFonts w:eastAsiaTheme="minorEastAsia"/>
                <w:sz w:val="26"/>
                <w:szCs w:val="26"/>
                <w:lang w:val="en-US" w:eastAsia="zh-CN"/>
              </w:rPr>
              <w:t>Ivaniushina</w:t>
            </w:r>
            <w:proofErr w:type="spellEnd"/>
            <w:r w:rsidRPr="00760B8B">
              <w:rPr>
                <w:rFonts w:eastAsiaTheme="minorEastAsia"/>
                <w:sz w:val="26"/>
                <w:szCs w:val="26"/>
                <w:lang w:val="en-US" w:eastAsia="zh-CN"/>
              </w:rPr>
              <w:t xml:space="preserve"> V.A.</w:t>
            </w:r>
          </w:p>
        </w:tc>
      </w:tr>
      <w:tr w:rsidR="00D82FD5" w:rsidTr="005A70AF">
        <w:tc>
          <w:tcPr>
            <w:tcW w:w="1843" w:type="dxa"/>
            <w:hideMark/>
          </w:tcPr>
          <w:p w:rsidR="00D82FD5" w:rsidRDefault="00D82FD5" w:rsidP="00D82F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FD5" w:rsidRPr="00310F63" w:rsidRDefault="00760B8B" w:rsidP="00760B8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Candidate of Sciences in</w:t>
            </w:r>
            <w:r w:rsidR="00D80E3E" w:rsidRPr="00D80E3E">
              <w:rPr>
                <w:sz w:val="26"/>
                <w:szCs w:val="26"/>
                <w:lang w:val="en"/>
              </w:rPr>
              <w:t xml:space="preserve"> Political Science</w:t>
            </w:r>
            <w:r>
              <w:rPr>
                <w:sz w:val="26"/>
                <w:szCs w:val="26"/>
                <w:lang w:val="en"/>
              </w:rPr>
              <w:t>s</w:t>
            </w:r>
            <w:r w:rsidR="00D80E3E" w:rsidRPr="00D80E3E">
              <w:rPr>
                <w:sz w:val="26"/>
                <w:szCs w:val="26"/>
                <w:lang w:val="en"/>
              </w:rPr>
              <w:t xml:space="preserve">, </w:t>
            </w:r>
            <w:r>
              <w:rPr>
                <w:sz w:val="26"/>
                <w:szCs w:val="26"/>
                <w:lang w:val="en"/>
              </w:rPr>
              <w:t>Associate professor</w:t>
            </w:r>
            <w:r w:rsidR="00D80E3E" w:rsidRPr="00D80E3E">
              <w:rPr>
                <w:sz w:val="26"/>
                <w:szCs w:val="26"/>
                <w:lang w:val="en"/>
              </w:rPr>
              <w:t xml:space="preserve"> at the Department of Political Science and International Relations, Academic Supervisor of the Program "Data Analysis for the State and Society"</w:t>
            </w:r>
            <w:r>
              <w:rPr>
                <w:sz w:val="26"/>
                <w:szCs w:val="26"/>
                <w:lang w:val="en"/>
              </w:rPr>
              <w:t xml:space="preserve">, </w:t>
            </w:r>
            <w:r w:rsidR="00D80E3E" w:rsidRPr="00D80E3E">
              <w:rPr>
                <w:sz w:val="26"/>
                <w:szCs w:val="26"/>
                <w:lang w:val="en"/>
              </w:rPr>
              <w:t>St. Petersburg School of Social Sciences, National Research University Higher School of Economics - St. Petersburg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Default="00D80E3E" w:rsidP="00D82FD5">
            <w:pPr>
              <w:jc w:val="both"/>
              <w:rPr>
                <w:sz w:val="26"/>
                <w:szCs w:val="26"/>
              </w:rPr>
            </w:pPr>
            <w:proofErr w:type="spellStart"/>
            <w:r w:rsidRPr="00D80E3E">
              <w:rPr>
                <w:sz w:val="26"/>
                <w:szCs w:val="26"/>
                <w:lang w:val="en-US"/>
              </w:rPr>
              <w:t>Sorbale</w:t>
            </w:r>
            <w:proofErr w:type="spellEnd"/>
            <w:r w:rsidRPr="00D80E3E">
              <w:rPr>
                <w:sz w:val="26"/>
                <w:szCs w:val="26"/>
                <w:lang w:val="en-US"/>
              </w:rPr>
              <w:t xml:space="preserve"> A.B.</w:t>
            </w:r>
          </w:p>
        </w:tc>
      </w:tr>
      <w:tr w:rsidR="00E44684" w:rsidRPr="00D61CC7" w:rsidTr="005A70AF">
        <w:tc>
          <w:tcPr>
            <w:tcW w:w="1843" w:type="dxa"/>
          </w:tcPr>
          <w:p w:rsidR="00E44684" w:rsidRDefault="00E44684" w:rsidP="00E446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684" w:rsidRPr="00E44684" w:rsidRDefault="00E44684" w:rsidP="00E4468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"/>
              </w:rPr>
              <w:t xml:space="preserve">Senior Consultant, Sustainable Development Services Delivering </w:t>
            </w:r>
            <w:r>
              <w:rPr>
                <w:sz w:val="26"/>
                <w:szCs w:val="26"/>
                <w:lang w:val="en-US"/>
              </w:rPr>
              <w:t xml:space="preserve">division, Department of Management </w:t>
            </w:r>
            <w:proofErr w:type="spellStart"/>
            <w:r>
              <w:rPr>
                <w:sz w:val="26"/>
                <w:szCs w:val="26"/>
                <w:lang w:val="en-US"/>
              </w:rPr>
              <w:t>Counsulting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E44684">
              <w:rPr>
                <w:sz w:val="26"/>
                <w:szCs w:val="26"/>
                <w:lang w:val="en-US"/>
              </w:rPr>
              <w:t>JSC Business Solutions and Technologies</w:t>
            </w:r>
            <w:r>
              <w:rPr>
                <w:sz w:val="26"/>
                <w:szCs w:val="26"/>
                <w:lang w:val="en-US"/>
              </w:rPr>
              <w:t>, St. Petersburg</w:t>
            </w:r>
          </w:p>
        </w:tc>
        <w:tc>
          <w:tcPr>
            <w:tcW w:w="859" w:type="dxa"/>
          </w:tcPr>
          <w:p w:rsidR="00E44684" w:rsidRPr="00310F63" w:rsidRDefault="00E44684" w:rsidP="00E4468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684" w:rsidRPr="00E44684" w:rsidRDefault="00E44684" w:rsidP="00E4468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  <w:lang w:val="en-US" w:eastAsia="zh-CN"/>
              </w:rPr>
              <w:t>Chekalenko</w:t>
            </w:r>
            <w:proofErr w:type="spellEnd"/>
            <w:r>
              <w:rPr>
                <w:rFonts w:eastAsiaTheme="minorEastAsia"/>
                <w:sz w:val="26"/>
                <w:szCs w:val="26"/>
                <w:lang w:val="en-US" w:eastAsia="zh-CN"/>
              </w:rPr>
              <w:t xml:space="preserve"> A.</w:t>
            </w:r>
          </w:p>
        </w:tc>
      </w:tr>
      <w:tr w:rsidR="00D82FD5" w:rsidTr="005A70AF">
        <w:tc>
          <w:tcPr>
            <w:tcW w:w="1843" w:type="dxa"/>
          </w:tcPr>
          <w:p w:rsidR="00D82FD5" w:rsidRDefault="00D82FD5" w:rsidP="00D82F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Pr="00310F63" w:rsidRDefault="00D80E3E" w:rsidP="00D82FD5">
            <w:pPr>
              <w:jc w:val="both"/>
              <w:rPr>
                <w:sz w:val="26"/>
                <w:szCs w:val="26"/>
                <w:lang w:val="en-US"/>
              </w:rPr>
            </w:pPr>
            <w:r w:rsidRPr="00D80E3E">
              <w:rPr>
                <w:sz w:val="26"/>
                <w:szCs w:val="26"/>
                <w:lang w:val="en-US"/>
              </w:rPr>
              <w:t>Deputy Head of the Inspectorate for the Audit of National Objectives of the Research and Methodology Department of the Accounts Chamber of the Russian Federation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FD5" w:rsidRDefault="00D80E3E" w:rsidP="00D82FD5">
            <w:pPr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>Kim A.I.</w:t>
            </w:r>
          </w:p>
        </w:tc>
      </w:tr>
      <w:tr w:rsidR="00E44684" w:rsidRPr="00787B60" w:rsidTr="005A70AF">
        <w:tc>
          <w:tcPr>
            <w:tcW w:w="1843" w:type="dxa"/>
          </w:tcPr>
          <w:p w:rsidR="00E44684" w:rsidRDefault="00E44684" w:rsidP="00E446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684" w:rsidRPr="00310F63" w:rsidRDefault="00E44684" w:rsidP="00E4468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"/>
              </w:rPr>
              <w:t xml:space="preserve">Director in Research, Analysis and Special projects, Department of Corporate Relations, </w:t>
            </w:r>
            <w:proofErr w:type="spellStart"/>
            <w:r>
              <w:rPr>
                <w:sz w:val="26"/>
                <w:szCs w:val="26"/>
                <w:lang w:val="en"/>
              </w:rPr>
              <w:t>Yandex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Ltd.</w:t>
            </w:r>
          </w:p>
        </w:tc>
        <w:tc>
          <w:tcPr>
            <w:tcW w:w="859" w:type="dxa"/>
          </w:tcPr>
          <w:p w:rsidR="00E44684" w:rsidRPr="00310F63" w:rsidRDefault="00E44684" w:rsidP="00E4468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684" w:rsidRPr="00787B60" w:rsidRDefault="00E44684" w:rsidP="00E44684">
            <w:pPr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eastAsiaTheme="minorEastAsia"/>
                <w:sz w:val="26"/>
                <w:szCs w:val="26"/>
                <w:lang w:val="en-US" w:eastAsia="zh-CN"/>
              </w:rPr>
              <w:t>Ustinov G.S</w:t>
            </w:r>
          </w:p>
        </w:tc>
      </w:tr>
      <w:tr w:rsidR="00D82FD5" w:rsidRPr="00D80E3E" w:rsidTr="005A70AF">
        <w:tc>
          <w:tcPr>
            <w:tcW w:w="1843" w:type="dxa"/>
            <w:hideMark/>
          </w:tcPr>
          <w:p w:rsidR="00D82FD5" w:rsidRPr="00310F63" w:rsidRDefault="00310F63" w:rsidP="00D82FD5">
            <w:pPr>
              <w:jc w:val="both"/>
              <w:rPr>
                <w:sz w:val="26"/>
                <w:szCs w:val="26"/>
                <w:lang w:val="en-US"/>
              </w:rPr>
            </w:pPr>
            <w:r w:rsidRPr="00A42DB5">
              <w:rPr>
                <w:sz w:val="26"/>
                <w:szCs w:val="26"/>
                <w:lang w:val="en-US"/>
              </w:rPr>
              <w:t>Secretary of the</w:t>
            </w:r>
            <w:r>
              <w:rPr>
                <w:sz w:val="26"/>
                <w:szCs w:val="26"/>
                <w:lang w:val="en-US"/>
              </w:rPr>
              <w:t xml:space="preserve"> Local</w:t>
            </w:r>
            <w:r w:rsidRPr="00A42DB5">
              <w:rPr>
                <w:sz w:val="26"/>
                <w:szCs w:val="26"/>
                <w:lang w:val="en-US"/>
              </w:rPr>
              <w:t xml:space="preserve"> State Exam Committee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A42DB5">
              <w:rPr>
                <w:sz w:val="26"/>
                <w:szCs w:val="26"/>
                <w:lang w:val="en-US"/>
              </w:rPr>
              <w:t>№1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FD5" w:rsidRPr="00310F63" w:rsidRDefault="00D80E3E" w:rsidP="00760B8B">
            <w:pPr>
              <w:jc w:val="both"/>
              <w:rPr>
                <w:sz w:val="26"/>
                <w:szCs w:val="26"/>
                <w:lang w:val="en-US"/>
              </w:rPr>
            </w:pPr>
            <w:r w:rsidRPr="00D80E3E">
              <w:rPr>
                <w:sz w:val="26"/>
                <w:szCs w:val="26"/>
                <w:lang w:val="en-US"/>
              </w:rPr>
              <w:t xml:space="preserve">Senior Lecturer, St. Petersburg School of Social Sciences, </w:t>
            </w:r>
            <w:r w:rsidR="00760B8B" w:rsidRPr="00D80E3E">
              <w:rPr>
                <w:sz w:val="26"/>
                <w:szCs w:val="26"/>
                <w:lang w:val="en-US"/>
              </w:rPr>
              <w:t>Department</w:t>
            </w:r>
            <w:r w:rsidR="00760B8B" w:rsidRPr="00D80E3E">
              <w:rPr>
                <w:sz w:val="26"/>
                <w:szCs w:val="26"/>
                <w:lang w:val="en-US"/>
              </w:rPr>
              <w:t xml:space="preserve"> </w:t>
            </w:r>
            <w:r w:rsidR="00760B8B">
              <w:rPr>
                <w:sz w:val="26"/>
                <w:szCs w:val="26"/>
                <w:lang w:val="en-US"/>
              </w:rPr>
              <w:t xml:space="preserve">of </w:t>
            </w:r>
            <w:r w:rsidRPr="00D80E3E">
              <w:rPr>
                <w:sz w:val="26"/>
                <w:szCs w:val="26"/>
                <w:lang w:val="en-US"/>
              </w:rPr>
              <w:t>Political Science and International Relations, National Research University Higher School of Economics - St. Petersburg</w:t>
            </w:r>
          </w:p>
        </w:tc>
        <w:tc>
          <w:tcPr>
            <w:tcW w:w="859" w:type="dxa"/>
          </w:tcPr>
          <w:p w:rsidR="00D82FD5" w:rsidRPr="00310F63" w:rsidRDefault="00D82FD5" w:rsidP="00D82FD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FD5" w:rsidRPr="00D80E3E" w:rsidRDefault="00760B8B" w:rsidP="0088441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Borisenko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M.S</w:t>
            </w:r>
            <w:r w:rsidR="00884413"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3E2179" w:rsidRPr="00760B8B" w:rsidRDefault="003E2179" w:rsidP="003E2179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3E2179" w:rsidRPr="00760B8B" w:rsidSect="00E055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C27"/>
    <w:multiLevelType w:val="multilevel"/>
    <w:tmpl w:val="A31284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8717D3"/>
    <w:multiLevelType w:val="multilevel"/>
    <w:tmpl w:val="EA763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AA1F1F"/>
    <w:multiLevelType w:val="multilevel"/>
    <w:tmpl w:val="D5BC168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B861658"/>
    <w:multiLevelType w:val="multilevel"/>
    <w:tmpl w:val="A8E261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8536F1"/>
    <w:multiLevelType w:val="multilevel"/>
    <w:tmpl w:val="EA763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7AAF5F40"/>
    <w:multiLevelType w:val="multilevel"/>
    <w:tmpl w:val="EA763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79"/>
    <w:rsid w:val="00014AF0"/>
    <w:rsid w:val="000A2D94"/>
    <w:rsid w:val="000D443D"/>
    <w:rsid w:val="001211C6"/>
    <w:rsid w:val="0018272B"/>
    <w:rsid w:val="0019218D"/>
    <w:rsid w:val="00197717"/>
    <w:rsid w:val="001F3FC3"/>
    <w:rsid w:val="001F6060"/>
    <w:rsid w:val="00245E82"/>
    <w:rsid w:val="002E1E75"/>
    <w:rsid w:val="00310F63"/>
    <w:rsid w:val="003D3994"/>
    <w:rsid w:val="003E2179"/>
    <w:rsid w:val="003E7761"/>
    <w:rsid w:val="00420557"/>
    <w:rsid w:val="004A1CE2"/>
    <w:rsid w:val="00517953"/>
    <w:rsid w:val="00534A95"/>
    <w:rsid w:val="00550AAF"/>
    <w:rsid w:val="0055149D"/>
    <w:rsid w:val="005F53A8"/>
    <w:rsid w:val="005F74B9"/>
    <w:rsid w:val="00623350"/>
    <w:rsid w:val="006358AC"/>
    <w:rsid w:val="006372AD"/>
    <w:rsid w:val="0066044A"/>
    <w:rsid w:val="006C541C"/>
    <w:rsid w:val="007418D3"/>
    <w:rsid w:val="00760B8B"/>
    <w:rsid w:val="00791EDC"/>
    <w:rsid w:val="007B3CC6"/>
    <w:rsid w:val="007E5184"/>
    <w:rsid w:val="00845267"/>
    <w:rsid w:val="00872984"/>
    <w:rsid w:val="00884413"/>
    <w:rsid w:val="008F5632"/>
    <w:rsid w:val="00933D87"/>
    <w:rsid w:val="00943EF2"/>
    <w:rsid w:val="00951597"/>
    <w:rsid w:val="00A44597"/>
    <w:rsid w:val="00A54305"/>
    <w:rsid w:val="00AF0079"/>
    <w:rsid w:val="00B306FE"/>
    <w:rsid w:val="00B64286"/>
    <w:rsid w:val="00B8523D"/>
    <w:rsid w:val="00C5220F"/>
    <w:rsid w:val="00C910D2"/>
    <w:rsid w:val="00D653A6"/>
    <w:rsid w:val="00D80E3E"/>
    <w:rsid w:val="00D82FD5"/>
    <w:rsid w:val="00DD55BB"/>
    <w:rsid w:val="00E44684"/>
    <w:rsid w:val="00E4641A"/>
    <w:rsid w:val="00ED0582"/>
    <w:rsid w:val="00FB5773"/>
    <w:rsid w:val="00FB7CC9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A1F6-586F-4E33-AAA8-A9A306BE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79"/>
    <w:pPr>
      <w:ind w:left="720"/>
      <w:contextualSpacing/>
    </w:pPr>
  </w:style>
  <w:style w:type="table" w:styleId="a4">
    <w:name w:val="Table Grid"/>
    <w:basedOn w:val="a1"/>
    <w:uiPriority w:val="59"/>
    <w:rsid w:val="003E217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F53A8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3A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OLLY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Ахмеджанова Дилором Эгамбергановна</dc:creator>
  <cp:lastModifiedBy>Ахмеджанова Дилором Эгамбергановна</cp:lastModifiedBy>
  <cp:revision>2</cp:revision>
  <dcterms:created xsi:type="dcterms:W3CDTF">2024-05-15T13:54:00Z</dcterms:created>
  <dcterms:modified xsi:type="dcterms:W3CDTF">2024-05-15T13:54:00Z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Ахмеджанова Д.Э.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2020/4/3-234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«Бизнес и политика в современной Азии» факультета Санкт-Петербургская школа социальных наук и востоковедения и секрета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