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941" w:leader="none"/>
        </w:tabs>
        <w:spacing w:before="0" w:after="0"/>
        <w:ind w:left="5845" w:right="-428" w:firstLine="2"/>
        <w:contextualSpacing/>
        <w:rPr>
          <w:rFonts w:ascii="Times New Roman" w:hAnsi="Times New Roman" w:eastAsia="Times New Roman" w:cs="Times New Roman"/>
          <w:sz w:val="26"/>
          <w:szCs w:val="26"/>
          <w:highlight w:val="yellow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yellow"/>
        </w:rPr>
      </w:r>
    </w:p>
    <w:p>
      <w:pPr>
        <w:pStyle w:val="Normal"/>
        <w:tabs>
          <w:tab w:val="clear" w:pos="709"/>
          <w:tab w:val="left" w:pos="11941" w:leader="none"/>
        </w:tabs>
        <w:spacing w:before="0" w:after="0"/>
        <w:ind w:left="5845" w:right="-428" w:firstLine="2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УТВЕРЖДЕНО</w:t>
      </w:r>
    </w:p>
    <w:p>
      <w:pPr>
        <w:pStyle w:val="Normal"/>
        <w:tabs>
          <w:tab w:val="clear" w:pos="709"/>
          <w:tab w:val="left" w:pos="11941" w:leader="none"/>
        </w:tabs>
        <w:spacing w:before="0" w:after="0"/>
        <w:ind w:left="5845" w:right="-428" w:firstLine="2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академическим советом</w:t>
      </w:r>
    </w:p>
    <w:p>
      <w:pPr>
        <w:pStyle w:val="Normal"/>
        <w:tabs>
          <w:tab w:val="clear" w:pos="709"/>
          <w:tab w:val="left" w:pos="11941" w:leader="none"/>
        </w:tabs>
        <w:spacing w:before="0" w:after="0"/>
        <w:ind w:left="5845" w:right="-428" w:firstLine="2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образовательной программы</w:t>
      </w:r>
    </w:p>
    <w:p>
      <w:pPr>
        <w:pStyle w:val="Normal"/>
        <w:tabs>
          <w:tab w:val="clear" w:pos="709"/>
          <w:tab w:val="left" w:pos="11941" w:leader="none"/>
        </w:tabs>
        <w:spacing w:before="0" w:after="0"/>
        <w:ind w:left="5845" w:right="-428" w:firstLine="2"/>
        <w:contextualSpacing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«Востоковедение»</w:t>
      </w:r>
    </w:p>
    <w:p>
      <w:pPr>
        <w:pStyle w:val="Normal"/>
        <w:tabs>
          <w:tab w:val="clear" w:pos="709"/>
          <w:tab w:val="left" w:pos="10512" w:leader="none"/>
        </w:tabs>
        <w:ind w:left="4416" w:right="-1" w:firstLine="1248"/>
        <w:jc w:val="center"/>
        <w:rPr>
          <w:rFonts w:ascii="Times New Roman" w:hAnsi="Times New Roman" w:eastAsia="Times New Roman" w:cs="Times New Roman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протокол от ___.___.2021 № ___</w:t>
      </w:r>
    </w:p>
    <w:p>
      <w:pPr>
        <w:pStyle w:val="Normal"/>
        <w:spacing w:before="0" w:after="0"/>
        <w:ind w:right="142" w:hanging="0"/>
        <w:contextualSpacing/>
        <w:rPr>
          <w:rFonts w:ascii="Times New Roman" w:hAnsi="Times New Roman" w:eastAsia="Times New Roman" w:cs="Times New Roman"/>
          <w:b/>
          <w:b/>
          <w:lang w:eastAsia="en-US"/>
        </w:rPr>
      </w:pPr>
      <w:r>
        <w:rPr>
          <w:rFonts w:eastAsia="Times New Roman" w:cs="Times New Roman" w:ascii="Times New Roman" w:hAnsi="Times New Roman"/>
          <w:b/>
          <w:lang w:eastAsia="en-US"/>
        </w:rPr>
      </w:r>
    </w:p>
    <w:p>
      <w:pPr>
        <w:pStyle w:val="Normal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ind w:right="567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</w:r>
    </w:p>
    <w:p>
      <w:pPr>
        <w:pStyle w:val="Normal"/>
        <w:ind w:right="567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Программа практики для студентов образовательной программы «Востоковедение»на 2021–2025 учебные годы</w:t>
      </w:r>
    </w:p>
    <w:p>
      <w:pPr>
        <w:pStyle w:val="Normal"/>
        <w:ind w:right="567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right="-1" w:firstLine="708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  <w:t xml:space="preserve">Разработано Академическим советом ОП </w:t>
      </w:r>
      <w:r>
        <w:rPr>
          <w:rFonts w:eastAsia="Times New Roman" w:cs="Times New Roman" w:ascii="Times New Roman" w:hAnsi="Times New Roman"/>
          <w:color w:val="000000"/>
        </w:rPr>
        <w:t xml:space="preserve">«Востоковедение» </w:t>
      </w:r>
    </w:p>
    <w:p>
      <w:pPr>
        <w:pStyle w:val="Normal"/>
        <w:ind w:right="-1" w:firstLine="708"/>
        <w:jc w:val="right"/>
        <w:rPr>
          <w:rFonts w:ascii="Times New Roman" w:hAnsi="Times New Roman" w:eastAsia="Times New Roman" w:cs="Times New Roman"/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iCs/>
          <w:color w:val="000000"/>
        </w:rPr>
      </w:r>
    </w:p>
    <w:p>
      <w:pPr>
        <w:pStyle w:val="Normal"/>
        <w:ind w:right="567" w:hanging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-567" w:right="-143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плана».</w:t>
      </w:r>
    </w:p>
    <w:p>
      <w:pPr>
        <w:pStyle w:val="Normal"/>
        <w:spacing w:before="0" w:after="200"/>
        <w:ind w:right="-1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right="-1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РАЗДЕЛ 1. Общие сведения</w:t>
      </w:r>
    </w:p>
    <w:p>
      <w:pPr>
        <w:pStyle w:val="Normal"/>
        <w:spacing w:before="0" w:after="200"/>
        <w:ind w:right="-1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200"/>
        <w:ind w:right="-1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 образовательной программе «Востоковедение» реализуются следующие формы практической подготовки:</w:t>
      </w:r>
    </w:p>
    <w:p>
      <w:pPr>
        <w:pStyle w:val="Normal"/>
        <w:spacing w:before="0" w:after="200"/>
        <w:ind w:right="-1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72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"/>
        <w:gridCol w:w="2039"/>
        <w:gridCol w:w="1491"/>
        <w:gridCol w:w="1899"/>
        <w:gridCol w:w="1419"/>
        <w:gridCol w:w="1179"/>
        <w:gridCol w:w="1880"/>
      </w:tblGrid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Курс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Вид практики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Тип практики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(ЭПП)</w:t>
            </w:r>
          </w:p>
        </w:tc>
        <w:tc>
          <w:tcPr>
            <w:tcW w:w="189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Признак</w:t>
            </w:r>
          </w:p>
        </w:tc>
        <w:tc>
          <w:tcPr>
            <w:tcW w:w="141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Объем в з.е. 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1 студ.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Объем в ак.часах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на 1 студ.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>Период реализации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Профессиональная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Учебная (библиографическая) практика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Обязательная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18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4 модуль первого года обучения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en-US" w:eastAsia="ru-RU" w:bidi="ar-SA"/>
              </w:rPr>
              <w:t>3,4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Научно-исследовательская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Курсовая работа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Обязательная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val="en-US" w:eastAsia="ru-RU" w:bidi="ar-SA"/>
              </w:rPr>
              <w:t>190/190</w:t>
            </w:r>
          </w:p>
        </w:tc>
        <w:tc>
          <w:tcPr>
            <w:tcW w:w="18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третий год обучения,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четвертый  год обучения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4, 5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shd w:fill="auto" w:val="clear"/>
                <w:lang w:eastAsia="ru-RU" w:bidi="ar-SA"/>
              </w:rPr>
              <w:t>Проектная/Научно-исследовательская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Проекты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По выбору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11 /7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418/266, </w:t>
            </w:r>
          </w:p>
        </w:tc>
        <w:tc>
          <w:tcPr>
            <w:tcW w:w="18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четвертый  год обучения, 1-3 модули 5 года обучения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Научно-исследовательская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Преддипломная 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Обязательная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3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114</w:t>
            </w:r>
          </w:p>
        </w:tc>
        <w:tc>
          <w:tcPr>
            <w:tcW w:w="18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shd w:fill="auto" w:val="clear"/>
                <w:lang w:eastAsia="ru-RU" w:bidi="ar-SA"/>
              </w:rPr>
              <w:t>1 модуль, пятый год обучения</w:t>
            </w:r>
          </w:p>
        </w:tc>
      </w:tr>
      <w:tr>
        <w:trPr/>
        <w:tc>
          <w:tcPr>
            <w:tcW w:w="81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 xml:space="preserve">5. </w:t>
            </w:r>
          </w:p>
        </w:tc>
        <w:tc>
          <w:tcPr>
            <w:tcW w:w="20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Научно-исследовательская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Подготовка ВКР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Обязательная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1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lang w:val="en-US"/>
              </w:rPr>
            </w:pPr>
            <w:r>
              <w:rPr>
                <w:rFonts w:cs="Times New Roman" w:ascii="Times New Roman" w:hAnsi="Times New Roman"/>
                <w:i/>
                <w:lang w:val="en-US"/>
              </w:rPr>
              <w:t>456</w:t>
            </w:r>
          </w:p>
        </w:tc>
        <w:tc>
          <w:tcPr>
            <w:tcW w:w="188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пятый год обучения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РАЗДЕЛ 2. Описание содержания практики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8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9"/>
        <w:gridCol w:w="2622"/>
        <w:gridCol w:w="3278"/>
        <w:gridCol w:w="3240"/>
      </w:tblGrid>
      <w:tr>
        <w:trPr/>
        <w:tc>
          <w:tcPr>
            <w:tcW w:w="1639" w:type="dxa"/>
            <w:tcBorders/>
          </w:tcPr>
          <w:p>
            <w:pPr>
              <w:pStyle w:val="NormalWeb"/>
              <w:widowControl w:val="false"/>
              <w:spacing w:beforeAutospacing="0" w:before="240" w:afterAutospacing="0" w:after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Тип ЭПП</w:t>
            </w:r>
          </w:p>
        </w:tc>
        <w:tc>
          <w:tcPr>
            <w:tcW w:w="2622" w:type="dxa"/>
            <w:tcBorders/>
          </w:tcPr>
          <w:p>
            <w:pPr>
              <w:pStyle w:val="NormalWeb"/>
              <w:widowControl w:val="false"/>
              <w:spacing w:beforeAutospacing="0" w:before="240" w:afterAutospacing="0" w:after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Точка контроля для подписания задания студенту</w:t>
            </w:r>
          </w:p>
        </w:tc>
        <w:tc>
          <w:tcPr>
            <w:tcW w:w="3278" w:type="dxa"/>
            <w:tcBorders/>
          </w:tcPr>
          <w:p>
            <w:pPr>
              <w:pStyle w:val="NormalWeb"/>
              <w:widowControl w:val="false"/>
              <w:spacing w:beforeAutospacing="0" w:before="240" w:afterAutospacing="0" w:after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3240" w:type="dxa"/>
            <w:tcBorders/>
          </w:tcPr>
          <w:p>
            <w:pPr>
              <w:pStyle w:val="NormalWeb"/>
              <w:widowControl w:val="false"/>
              <w:spacing w:beforeAutospacing="0" w:before="240" w:afterAutospacing="0" w:after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Точка контроля для предоставления итогового текста/отчета</w:t>
            </w:r>
          </w:p>
        </w:tc>
      </w:tr>
      <w:tr>
        <w:trPr/>
        <w:tc>
          <w:tcPr>
            <w:tcW w:w="16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Курсовые работы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Выбор темы КР студентами/ инициативное предложение тем 3 и 4 курсов осуществляется с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10 октября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до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01 ноября текущего учебного года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Вторая волна выбора тем курсовых работ, либо инициативное предложение тем студентами, все поданные заявки которых оказались отклонены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с 01 ноября до 20 ноября текущего учебного года.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Утверждение тем курсовых работ в ИУПах студентов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15 декабря текущего учебного года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Для  3 и 4 курсов: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15 января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– предоставление плана-проекта КР руководителю;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 xml:space="preserve">1 марта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предоставление окончательного текста КР руководителю;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25 апреля для 3 курса/ 15 мая для 4 курса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оценивание КР.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Загрузка КР в систему «Антиплагиат»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3 курс: не позднее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eastAsia="ru-RU" w:bidi="ar-SA"/>
              </w:rPr>
              <w:t>05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 xml:space="preserve"> апреля текущего учебного года;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1A1A1A" w:themeColor="background1" w:themeShade="1a"/>
              </w:rPr>
            </w:pPr>
            <w:r>
              <w:rPr>
                <w:rFonts w:cs="Times New Roman" w:ascii="Times New Roman" w:hAnsi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 xml:space="preserve">4 курса – не позднее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A1A1A" w:themeColor="background1" w:themeShade="1a"/>
                <w:kern w:val="0"/>
                <w:sz w:val="22"/>
                <w:szCs w:val="22"/>
                <w:lang w:eastAsia="ru-RU" w:bidi="ar-SA"/>
              </w:rPr>
              <w:t>01 мая текущего учебного года;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01-14 июня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 публичная защита курсовых работ, полу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kern w:val="0"/>
                <w:sz w:val="22"/>
                <w:szCs w:val="22"/>
                <w:shd w:fill="auto" w:val="clear"/>
                <w:lang w:eastAsia="ru-RU" w:bidi="ar-SA"/>
              </w:rPr>
              <w:t>чивших оценку «отлично» (8, 9 или 10 баллов)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>.</w:t>
            </w:r>
          </w:p>
        </w:tc>
      </w:tr>
      <w:tr>
        <w:trPr/>
        <w:tc>
          <w:tcPr>
            <w:tcW w:w="16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ВКР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Выбор темы ВКР студентами/ инициативное предложение тем 4 курса осуществляется с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10 октября до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01 ноября текущего учебного года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с 01 ноября до 20 ноября текущего учебного года.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Утверждение тем ВКР в ИУПах студентов,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закрепление тем и руководителей ВКР за студентами приказом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15 декабря текущего учебного года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20 декабря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– предоставление проекта ВКР руководителю и его оценивание «утвержден»/ «не утвержден»;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- Не позднее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eastAsia="ru-RU" w:bidi="ar-SA"/>
              </w:rPr>
              <w:t>25 декабря –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п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ru-RU" w:bidi="ar-SA"/>
              </w:rPr>
              <w:t>овторное представление  проекта ВКР (при не утверждении рук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оводителем)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auto" w:val="clear"/>
                <w:lang w:eastAsia="ru-RU" w:bidi="ar-SA"/>
              </w:rPr>
              <w:t>7 марта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 загрузка в ЛМС развернутого плана ВКР на английском языке (Project Proposal);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hd w:fill="auto" w:val="clea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>–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shd w:fill="auto" w:val="clear"/>
                <w:lang w:eastAsia="ru-RU" w:bidi="ar-SA"/>
              </w:rPr>
              <w:t>15 марта –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color w:val="1A1A1A" w:themeColor="background1" w:themeShade="1a"/>
                <w:kern w:val="0"/>
                <w:sz w:val="22"/>
                <w:szCs w:val="22"/>
                <w:shd w:fill="auto" w:val="clear"/>
                <w:lang w:eastAsia="ru-RU" w:bidi="ar-SA"/>
              </w:rPr>
              <w:t>ервое предъявление готовой ВКР руководителю;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br/>
              <w:t xml:space="preserve">– 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auto" w:val="clear"/>
                <w:lang w:eastAsia="ru-RU" w:bidi="ar-SA"/>
              </w:rPr>
              <w:t>7 апреля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 публичная  защита Project Proposal;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 xml:space="preserve">15 мая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предоставление окончательного варианта ВКР руководителю;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Не позднее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ru-RU" w:bidi="ar-SA"/>
              </w:rPr>
              <w:t xml:space="preserve">, чем за месяц до запланированной даты защиты  -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рецензирование ВКР.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Загрузка ВКР в систему «Антиплагиат»: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20 мая текущего учебного года;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 xml:space="preserve">–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10–15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июня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 Защита ВКР.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6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Проекты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Дата выбора проекта определяется индивидуально в проектных предложениях на Ярмарке проектов НИУ ВШЭ.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в проектных предложениях на Ярмарке проектов НИУ ВШЭ.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Определяется индивидуально в проектных  предложениях на ярмарке проектов НИУ ВШЭ,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Для 5 курса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shd w:fill="auto" w:val="clear"/>
                <w:lang w:eastAsia="ru-RU" w:bidi="ar-SA"/>
              </w:rPr>
              <w:t xml:space="preserve">-  не позднее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shd w:fill="auto" w:val="clear"/>
                <w:lang w:eastAsia="ru-RU" w:bidi="ar-SA"/>
              </w:rPr>
              <w:t>начала 3 модуля выпускного курса.</w:t>
            </w:r>
          </w:p>
        </w:tc>
      </w:tr>
      <w:tr>
        <w:trPr/>
        <w:tc>
          <w:tcPr>
            <w:tcW w:w="163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Учебная (библиографическая)  практика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7 дней до дня начала практики.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руководителем практики.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5 рабочих дней со дня окончания практики.</w:t>
            </w:r>
          </w:p>
        </w:tc>
      </w:tr>
      <w:tr>
        <w:trPr/>
        <w:tc>
          <w:tcPr>
            <w:tcW w:w="16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i/>
                <w:i/>
                <w:highlight w:val="yellow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2"/>
                <w:szCs w:val="22"/>
                <w:lang w:eastAsia="ru-RU" w:bidi="ar-SA"/>
              </w:rPr>
              <w:t>Научно-исследовательская (преддипломная)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7 дней до дня начала практики.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>Определяется индивидуально руководителем практики.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ru-RU" w:bidi="ar-SA"/>
              </w:rPr>
              <w:t xml:space="preserve">Определяется руководителем практики, но </w:t>
            </w: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ru-RU" w:bidi="ar-SA"/>
              </w:rPr>
              <w:t>не позднее 5 рабочих дней со дня окончания практики.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ЭПП типа «Курсовые работы»</w:t>
      </w:r>
    </w:p>
    <w:p>
      <w:pPr>
        <w:pStyle w:val="NormalWeb"/>
        <w:spacing w:before="280" w:after="280"/>
        <w:ind w:left="-567" w:right="-142" w:firstLine="567"/>
        <w:jc w:val="both"/>
        <w:rPr/>
      </w:pPr>
      <w:r>
        <w:rPr>
          <w:b/>
          <w:color w:val="000000"/>
        </w:rPr>
        <w:t>2.1.1</w:t>
      </w:r>
      <w:r>
        <w:rPr>
          <w:color w:val="000000"/>
        </w:rPr>
        <w:tab/>
        <w:t xml:space="preserve">Целью и задачами ЭПП типа </w:t>
      </w:r>
      <w:r>
        <w:rPr>
          <w:i/>
          <w:iCs/>
          <w:color w:val="000000"/>
        </w:rPr>
        <w:t>«курсовая работа»</w:t>
      </w:r>
      <w:r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>
        <w:rPr/>
        <w:t>Пререквизитами является успешное овладение материалом</w:t>
      </w:r>
      <w:r>
        <w:rPr>
          <w:b/>
        </w:rPr>
        <w:t xml:space="preserve"> </w:t>
      </w:r>
      <w:r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2.1.2</w:t>
      </w:r>
      <w:r>
        <w:rPr>
          <w:rFonts w:cs="Times New Roman" w:ascii="Times New Roman" w:hAnsi="Times New Roman"/>
        </w:rPr>
        <w:tab/>
        <w:t xml:space="preserve">Курсовые работы ОП «Востоковедение» выполняются в исследовательском формате. Курсовые работы выполняются индивидуально. Курсовые работы должны быть написаны в соответствии и оформлены в </w:t>
      </w:r>
      <w:r>
        <w:rPr>
          <w:rFonts w:ascii="Times New Roman" w:hAnsi="Times New Roman"/>
        </w:rPr>
        <w:t xml:space="preserve">соответствии с </w:t>
      </w:r>
      <w:r>
        <w:rPr>
          <w:rFonts w:ascii="Times New Roman" w:hAnsi="Times New Roman"/>
          <w:b/>
          <w:bCs/>
          <w:u w:val="single"/>
        </w:rPr>
        <w:t>Правилами подготовки Курсовых работ обучающихся по образовательной программе бакалавриата «Востоковедение» факультета Санкт-Петербургская школа социальных наук и востоковедения</w:t>
      </w:r>
      <w:r>
        <w:rPr>
          <w:rFonts w:ascii="Times New Roman" w:hAnsi="Times New Roman"/>
        </w:rPr>
        <w:t xml:space="preserve"> (Приложение 1.) </w:t>
      </w:r>
      <w:r>
        <w:rPr>
          <w:rStyle w:val="Mcedatafileinfo"/>
          <w:rFonts w:ascii="Times New Roman" w:hAnsi="Times New Roman"/>
        </w:rPr>
        <w:t>Сроки выполнения КР регламентируется Графиком выполнения и сдачи курсовых работ (Приложение 1.) .</w:t>
      </w:r>
    </w:p>
    <w:p>
      <w:pPr>
        <w:pStyle w:val="Normal"/>
        <w:ind w:left="-567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Объем курсовой работы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3-м курсе —  25–60 тыс. знаков;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4-м курсе — </w:t>
      </w:r>
      <w:r>
        <w:rPr>
          <w:rFonts w:cs="Times New Roman" w:ascii="Times New Roman" w:hAnsi="Times New Roman"/>
          <w:shd w:fill="auto" w:val="clear"/>
        </w:rPr>
        <w:t xml:space="preserve"> 25–60</w:t>
      </w:r>
      <w:r>
        <w:rPr>
          <w:rFonts w:cs="Times New Roman" w:ascii="Times New Roman" w:hAnsi="Times New Roman"/>
        </w:rPr>
        <w:t xml:space="preserve"> тыс. знаков.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284" w:leader="none"/>
        </w:tabs>
        <w:ind w:left="-567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2.1.3</w:t>
      </w:r>
      <w:r>
        <w:rPr>
          <w:rFonts w:cs="Times New Roman" w:ascii="Times New Roman" w:hAnsi="Times New Roman"/>
        </w:rPr>
        <w:tab/>
        <w:t>Особенности оценивания</w:t>
      </w:r>
      <w:r>
        <w:rPr>
          <w:rFonts w:cs="Times New Roman" w:ascii="Times New Roman" w:hAnsi="Times New Roman"/>
          <w:i/>
        </w:rPr>
        <w:t>:</w:t>
      </w:r>
    </w:p>
    <w:p>
      <w:pPr>
        <w:pStyle w:val="Normal"/>
        <w:tabs>
          <w:tab w:val="clear" w:pos="709"/>
          <w:tab w:val="left" w:pos="284" w:leader="none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3-м и 4-м курсах курсовая работа оценивается научным руководителем, который предоставляет </w:t>
      </w:r>
      <w:r>
        <w:rPr>
          <w:rFonts w:ascii="Times New Roman" w:hAnsi="Times New Roman"/>
          <w:b/>
          <w:bCs/>
          <w:u w:val="single"/>
        </w:rPr>
        <w:t>Отзыв научного руководителя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clear" w:pos="709"/>
          <w:tab w:val="left" w:pos="284" w:leader="none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работы, получившие оценку «отлично» (8, 9 или 10 баллов) и их публичную защиту. Для этого академический руководитель назначает рецензентов таких курсовых работ из числа преподавателей ОП и внешних экспертов, а также определяет состав комиссий для проведения публичных защит курсовых работ. В составе каждой комиссии должно быть не менее трёх сотрудников Департамента востоковедения и африканистики НИУ ВШЭ Спб.</w:t>
      </w:r>
    </w:p>
    <w:p>
      <w:pPr>
        <w:pStyle w:val="Normal"/>
        <w:tabs>
          <w:tab w:val="clear" w:pos="709"/>
          <w:tab w:val="left" w:pos="284" w:leader="none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защите студент выступает с вступительной речью до 5 минут и презентацией/ подготовленный наглядный графический (таблицы, схемы) или иной материал, иллюстрирующий основные положения курсовой работы, в которых должны быть изложены актуальность исследования, цель и задачи, структура и основные положения и выводы КР. По завершении вступительной речи студент отвечает на вопросы и замечания комиссии. </w:t>
      </w:r>
    </w:p>
    <w:p>
      <w:pPr>
        <w:pStyle w:val="Normal"/>
        <w:tabs>
          <w:tab w:val="clear" w:pos="709"/>
          <w:tab w:val="left" w:pos="284" w:leader="none"/>
        </w:tabs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проведения публичной защиты итоговую оценку за курсовую работу выставляет комиссия</w:t>
      </w:r>
      <w:r>
        <w:rPr>
          <w:rFonts w:ascii="Times New Roman" w:hAnsi="Times New Roman"/>
          <w:shd w:fill="auto" w:val="clear"/>
        </w:rPr>
        <w:t>, а секретарь комиссии, назначенный из числа сотрудников Департамента востоковедения и африканистики НИУ ВШЭ СПб проставляет оценку в ведомость.</w:t>
      </w:r>
    </w:p>
    <w:p>
      <w:pPr>
        <w:pStyle w:val="Normal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Критерии оценивания: </w:t>
      </w:r>
    </w:p>
    <w:p>
      <w:pPr>
        <w:pStyle w:val="Normal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1. Соответствие цели, задач, содержания и выводов курсовой работы утвержденной теме работы.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Уровень фундированности курсовой работы.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  <w:shd w:fill="auto" w:val="clear"/>
        </w:rPr>
        <w:t xml:space="preserve">Количество использованных научных работ на иностранном языке в количестве не менее 10 наименований, в том числе не менее 3 на восточном языке. Наличие списка использованных источников и литературы, оформленного в соответствии с требованиями ГОСТа. </w:t>
      </w:r>
      <w:r>
        <w:rPr>
          <w:rFonts w:ascii="Times New Roman" w:hAnsi="Times New Roman"/>
          <w:lang w:eastAsia="en-US"/>
        </w:rPr>
        <w:t>В список использованной литературы включаются лишь те работы, на которые есть ссылки в тексте.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Адекватное использование научных понятий и терминов. Соответствие терминологии, используемой в курсовой работе, научной отрасли в рамках которой проводится исследование. Преимуществом является наличие подробно прописанной во Введении методологии и теоретической базы исследования, применение теорий и концепций, обозначенных во введении, при написании основной части курсовой работы.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color w:val="1A1A1A" w:themeColor="background1" w:themeShade="1a"/>
          <w:szCs w:val="22"/>
        </w:rPr>
      </w:pPr>
      <w:r>
        <w:rPr>
          <w:rFonts w:ascii="Times New Roman" w:hAnsi="Times New Roman"/>
        </w:rPr>
        <w:t>Достоверность приводимой в работе фактической информации, отсутствие фактических ошибок.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Соответствие курсовой работы требованиям к соблюдению авторских прав. </w:t>
      </w:r>
      <w:r>
        <w:rPr>
          <w:rFonts w:ascii="Times New Roman" w:hAnsi="Times New Roman"/>
          <w:lang w:eastAsia="en-US"/>
        </w:rPr>
        <w:t xml:space="preserve">Полное соответствие текста курсовой работы, оформления цитат, сносок основным требованиям к оформлению данного вида работ (подробнее см.: </w:t>
      </w:r>
      <w:hyperlink r:id="rId2">
        <w:r>
          <w:rPr>
            <w:rFonts w:ascii="Times New Roman" w:hAnsi="Times New Roman"/>
            <w:lang w:eastAsia="en-US"/>
          </w:rPr>
          <w:t>https://www.hse.ru/studyspravka/plagiat</w:t>
        </w:r>
      </w:hyperlink>
      <w:r>
        <w:rPr>
          <w:rFonts w:ascii="Times New Roman" w:hAnsi="Times New Roman"/>
          <w:lang w:eastAsia="en-US"/>
        </w:rPr>
        <w:t xml:space="preserve">).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правил транскрипции/транслитерации.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>Научная значимость и новизна выполненного исследования. Наличие исследовательского компонента в работе.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ascii="Times New Roman" w:hAnsi="Times New Roman"/>
        </w:rPr>
        <w:t xml:space="preserve">Соблюдение графика подготовки и представления курсовой работы (Приложение 1.).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Autospacing="0" w:before="0" w:afterAutospacing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2.1.4</w:t>
      </w:r>
      <w:r>
        <w:rPr>
          <w:rFonts w:eastAsia="Times New Roman" w:cs="Times New Roman" w:ascii="Times New Roman" w:hAnsi="Times New Roman"/>
          <w:bCs/>
          <w:color w:val="000000"/>
        </w:rPr>
        <w:tab/>
        <w:t>Ресурсы и материально-техническая база, необходимая для реализации ЭПП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rStyle w:val="Markedcontent"/>
        </w:rPr>
        <w:t xml:space="preserve">В работе над КР студенты используют материалы внешних ресурсов — библиотек, архивов, музеев,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b/>
          <w:bCs/>
          <w:color w:val="000000"/>
        </w:rPr>
        <w:t>2.1.5</w:t>
      </w:r>
      <w:r>
        <w:rPr>
          <w:bCs/>
          <w:color w:val="000000"/>
        </w:rPr>
        <w:tab/>
        <w:t>Особенности выполнения заданий по ЭПП в условиях ограничительных или иных мер.</w:t>
      </w:r>
    </w:p>
    <w:p>
      <w:pPr>
        <w:pStyle w:val="NormalWeb"/>
        <w:shd w:val="clear" w:color="auto" w:fill="FFFFFF"/>
        <w:spacing w:before="280" w:after="280"/>
        <w:ind w:left="-567" w:right="-1" w:firstLine="567"/>
        <w:jc w:val="both"/>
        <w:rPr/>
      </w:pPr>
      <w:r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>
      <w:pPr>
        <w:pStyle w:val="Text"/>
        <w:numPr>
          <w:ilvl w:val="1"/>
          <w:numId w:val="1"/>
        </w:numPr>
        <w:spacing w:beforeAutospacing="0" w:before="280" w:afterAutospacing="0" w:after="280"/>
        <w:ind w:left="0" w:hanging="0"/>
        <w:rPr/>
      </w:pPr>
      <w:r>
        <w:rPr/>
        <w:t xml:space="preserve"> </w:t>
      </w:r>
      <w:r>
        <w:rPr>
          <w:b/>
        </w:rPr>
        <w:t xml:space="preserve">ЭПП типа «Подготовка </w:t>
      </w:r>
      <w:r>
        <w:rPr>
          <w:rStyle w:val="File"/>
          <w:b/>
        </w:rPr>
        <w:t>Выпускной квалификационной работы»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2.2.1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</w:rPr>
        <w:t>Выпускная квалификационная работа по специализации представляет собой вид учебной и научно-исследовательской работы студента, обучающегося по основной образовательной программе подготовки бакалавров, проводимой самостоятельно под руководством преподавателя по определенной теме, утверждаемой на заседании Академического совета программы.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</w:rPr>
        <w:t xml:space="preserve">ВКР является обязательным элементом образовательной программы; целью и задачами ЭПП «Подготовка Выпускной квалификационной работы» являются аккумулирование и применение всех освоенных профессиональных исследовательских навыков. ВКР является обязательным элементом образовательной программы. Защита ВКР входит в обязательную часть государственной итоговой аттестации. 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</w:rPr>
        <w:t>ВКР формирует навыки самостоятельного изучения материала по выбранной теме, нацелена на развитие и углубление студентом знаний в области теоретических подходов и методологии научного исследования, умение анализировать результаты исследований определенной научной проблемы и работать с источниками различного характера, а также развивает компетенции аналитической, исследовательской и проектной деятельности.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Пререквизитами являет</w:t>
      </w:r>
      <w:r>
        <w:rPr>
          <w:rFonts w:ascii="Times New Roman" w:hAnsi="Times New Roman"/>
          <w:color w:val="000000"/>
        </w:rPr>
        <w:t xml:space="preserve">ся успешный опыт написания курсовых работ 3-4 курсов. </w:t>
      </w:r>
    </w:p>
    <w:p>
      <w:pPr>
        <w:pStyle w:val="NormalWeb"/>
        <w:spacing w:before="280" w:after="280"/>
        <w:ind w:left="-567" w:firstLine="567"/>
        <w:jc w:val="both"/>
        <w:rPr>
          <w:color w:val="000000"/>
        </w:rPr>
      </w:pPr>
      <w:r>
        <w:rPr>
          <w:b/>
          <w:color w:val="000000"/>
        </w:rPr>
        <w:t>2.2.2</w:t>
      </w:r>
      <w:r>
        <w:rPr>
          <w:color w:val="000000"/>
        </w:rPr>
        <w:tab/>
        <w:t>Тема ВКР должна быть одобрена академическим руководителем и академическими советом.</w:t>
      </w:r>
    </w:p>
    <w:p>
      <w:pPr>
        <w:pStyle w:val="Text"/>
        <w:spacing w:before="280" w:after="280"/>
        <w:ind w:left="-567" w:firstLine="567"/>
        <w:jc w:val="both"/>
        <w:rPr>
          <w:color w:val="000000"/>
        </w:rPr>
      </w:pPr>
      <w:r>
        <w:rPr>
          <w:color w:val="000000"/>
        </w:rPr>
        <w:t>Студенты ОП «Востоковедение» выполняют ВКР в академическом формате (индивидуальное исследование). ВКР выполняется и защищаетс</w:t>
      </w:r>
      <w:r>
        <w:rPr>
          <w:color w:val="000000"/>
          <w:shd w:fill="auto" w:val="clear"/>
        </w:rPr>
        <w:t xml:space="preserve">я на русском языке. По решению Академического совета ОП, ВКР может быть выполнена и защищена на иностранном  (английском) языке. При подготовке и защите ВКР на ОП «Востоковедение» реализуется принцип нулевой толерантности к плагиату. При написании ВКР допускается не более 25%  </w:t>
      </w:r>
      <w:r>
        <w:rPr>
          <w:color w:val="000000"/>
        </w:rPr>
        <w:t>самоцитирования.</w:t>
      </w:r>
    </w:p>
    <w:p>
      <w:pPr>
        <w:pStyle w:val="Text"/>
        <w:spacing w:before="280" w:after="280"/>
        <w:ind w:left="-567" w:firstLine="567"/>
        <w:jc w:val="both"/>
        <w:rPr>
          <w:color w:val="000000"/>
        </w:rPr>
      </w:pPr>
      <w:r>
        <w:rPr>
          <w:color w:val="000000"/>
        </w:rPr>
        <w:t>Студент создает развернутый план ВКР на английском языке (далее – Project  Proposal), объемом 1800-2000</w:t>
      </w:r>
      <w:r>
        <w:rPr>
          <w:rFonts w:eastAsia="" w:eastAsiaTheme="minorEastAsia"/>
          <w:color w:val="000000"/>
        </w:rPr>
        <w:t xml:space="preserve"> слов, содержащий постановку целей и задачи работы, ее структуру, методологию. Устная презентация Project Proposal является неотъемлемой частью ВКР студента в соответствии с образовательными стандартами подготовки бакалавров и специалистов в НИУ ВШЭ.</w:t>
      </w:r>
    </w:p>
    <w:p>
      <w:pPr>
        <w:pStyle w:val="Text"/>
        <w:spacing w:before="280" w:after="280"/>
        <w:ind w:left="-567" w:firstLine="567"/>
        <w:jc w:val="both"/>
        <w:rPr/>
      </w:pPr>
      <w:r>
        <w:rPr/>
        <w:t xml:space="preserve">Прочая информация о подготовке и защите выпускных квалификационных работ изложена в </w:t>
      </w:r>
      <w:r>
        <w:rPr>
          <w:b/>
          <w:bCs/>
        </w:rPr>
        <w:t>Правилах подготовки Выпускных квалификационных работ обучающихся по образовательной программе бакалавриата «Востоковедение» факультета Санкт-Петербургская школа социальных наук и востоковедения</w:t>
      </w:r>
      <w:r>
        <w:rPr/>
        <w:t xml:space="preserve"> (Приложение  2.)</w:t>
      </w:r>
      <w:r>
        <w:rPr>
          <w:rStyle w:val="Mcedatafileinfo"/>
        </w:rPr>
        <w:t>.Сроки выполнения ВКР регламентируются</w:t>
      </w:r>
      <w:r>
        <w:rPr>
          <w:rStyle w:val="Mcedatafileinfo"/>
          <w:u w:val="single"/>
        </w:rPr>
        <w:t xml:space="preserve"> графиком в Правилах (Приложение 2)</w:t>
      </w:r>
      <w:r>
        <w:rPr>
          <w:rStyle w:val="Mcedatafileinfo"/>
        </w:rPr>
        <w:t xml:space="preserve">. </w:t>
      </w:r>
    </w:p>
    <w:p>
      <w:pPr>
        <w:pStyle w:val="Normal"/>
        <w:rPr/>
      </w:pPr>
      <w:r>
        <w:rPr/>
        <w:t>Объем ВКР: составляет не менее 40000 и не более 80000 знаков.</w:t>
      </w:r>
    </w:p>
    <w:p>
      <w:pPr>
        <w:pStyle w:val="Normal"/>
        <w:spacing w:beforeAutospacing="0" w:before="0" w:afterAutospacing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567" w:firstLine="56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2.2.3</w:t>
      </w:r>
      <w:r>
        <w:rPr>
          <w:rFonts w:cs="Times New Roman" w:ascii="Times New Roman" w:hAnsi="Times New Roman"/>
        </w:rPr>
        <w:tab/>
        <w:t>Особенности оценивания:</w:t>
      </w:r>
    </w:p>
    <w:p>
      <w:pPr>
        <w:pStyle w:val="Normal"/>
        <w:ind w:left="-567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– </w:t>
      </w:r>
      <w:r>
        <w:rPr>
          <w:rFonts w:cs="Times New Roman" w:ascii="Times New Roman" w:hAnsi="Times New Roman"/>
          <w:color w:val="000000"/>
        </w:rPr>
        <w:t>Особенности оценивания Project Proposal (предзащита). Процедура защиты Project Proposal (устный экзамен) включает в себя защиту развернутого плана исследовательского проекта на английском языке в виде презентации продолжительностью 6-10 минут и последующего участия в его устном профессиональном обсуждении. Итоговая оценка за защиту выставляется путем сложения оценки выставленной, за устную презентацию (50%), и оценки, выставленной по итогам предоставленного ранее письменного текста Project Proposal (50%). Формула оценивания: Оитог=0,5*Описьменный реферат + 0,5*Оустная презентация. Способ округления итоговой оценки к ближайшему целому.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Руководитель оценивает ВКР согласно Критериям оценивания ВКР в  </w:t>
      </w:r>
      <w:r>
        <w:rPr>
          <w:rFonts w:cs="Times New Roman" w:ascii="Times New Roman" w:hAnsi="Times New Roman"/>
          <w:b/>
          <w:bCs/>
        </w:rPr>
        <w:t>Правилах подготовки Выпускных квалификационных работ обучающихся по образовательной программе бакалавриата «Востоковедение» факультета Санкт-Петербургская школа социальных наук и востоковедения</w:t>
      </w:r>
      <w:r>
        <w:rPr>
          <w:rFonts w:cs="Times New Roman" w:ascii="Times New Roman" w:hAnsi="Times New Roman"/>
        </w:rPr>
        <w:t xml:space="preserve"> (Приложение  2.)</w:t>
      </w:r>
      <w:r>
        <w:rPr>
          <w:rStyle w:val="Mcedatafileinfo"/>
          <w:rFonts w:cs="Times New Roman" w:ascii="Times New Roman" w:hAnsi="Times New Roman"/>
        </w:rPr>
        <w:t>.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каждой ВКР назначается один рецензент.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согласно Критериям оценивания ВКР в  </w:t>
      </w:r>
      <w:r>
        <w:rPr>
          <w:rFonts w:cs="Times New Roman" w:ascii="Times New Roman" w:hAnsi="Times New Roman"/>
          <w:b/>
          <w:bCs/>
        </w:rPr>
        <w:t>Правилах подготовки Выпускных квалификационных работ обучающихся по образовательной программе бакалавриата «Востоковедение» факультета Санкт-Петербургская школа социальных наук и востоковедения</w:t>
      </w:r>
      <w:r>
        <w:rPr>
          <w:rFonts w:cs="Times New Roman" w:ascii="Times New Roman" w:hAnsi="Times New Roman"/>
        </w:rPr>
        <w:t xml:space="preserve"> (Приложение  2.)</w:t>
      </w:r>
      <w:r>
        <w:rPr>
          <w:rStyle w:val="Mcedatafileinfo"/>
          <w:rFonts w:cs="Times New Roman" w:ascii="Times New Roman" w:hAnsi="Times New Roman"/>
        </w:rPr>
        <w:t>.</w:t>
      </w:r>
    </w:p>
    <w:p>
      <w:pPr>
        <w:pStyle w:val="Normal"/>
        <w:ind w:left="-567" w:firstLine="567"/>
        <w:jc w:val="both"/>
        <w:rPr>
          <w:rStyle w:val="Mcedatafileinfo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 выставлении оценки учитывается содержание, оформление и презентация текста работы, на основании Критериев оценивания. С учетом итогов защиты и оценок руководителя и рецензентов формируется итоговая оценка работы. Оценка за ВКР определяется путем открытого голосования членов ГАК (за содержание ВКР, ее защиту, в том числе доклада, ответов на замечания рецензента). </w:t>
      </w:r>
      <w:r>
        <w:rPr>
          <w:rFonts w:cs="Times New Roman" w:ascii="Times New Roman" w:hAnsi="Times New Roman"/>
          <w:shd w:fill="auto" w:val="clear"/>
        </w:rPr>
        <w:t>В случае возникновения спорной ситуации Председатель ГАК имеет решающий голос.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rFonts w:cs="Times New Roman" w:ascii="Times New Roman" w:hAnsi="Times New Roman"/>
          <w:u w:val="single"/>
          <w:shd w:fill="auto" w:val="clear"/>
        </w:rPr>
        <w:t>Критерии оценивания</w:t>
      </w:r>
      <w:r>
        <w:rPr>
          <w:rFonts w:cs="Times New Roman" w:ascii="Times New Roman" w:hAnsi="Times New Roman"/>
          <w:shd w:fill="auto" w:val="clear"/>
        </w:rPr>
        <w:t>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A1A1A" w:themeColor="background1" w:themeShade="1a"/>
          <w:shd w:fill="auto" w:val="clear"/>
        </w:rPr>
        <w:t>Научный руководитель и рецензент оценивают ВКР</w:t>
      </w:r>
      <w:r>
        <w:rPr>
          <w:rFonts w:cs="Times New Roman" w:ascii="Times New Roman" w:hAnsi="Times New Roman"/>
          <w:color w:val="1A1A1A" w:themeColor="background1" w:themeShade="1a"/>
        </w:rPr>
        <w:t xml:space="preserve"> по следующим критериям: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0" w:leader="none"/>
          <w:tab w:val="left" w:pos="993" w:leader="none"/>
        </w:tabs>
        <w:spacing w:lineRule="auto" w:line="252" w:before="0" w:after="160"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>1. Соответствие цели, задач, содержания и выводов ВКР утвержденной теме работы.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>Структурированное и логичное изложение материала, убедительная аргументация, обоснованность и корректность выводов и умозаключений автора по теме работы.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>Уровень фундированности ВКР. Степень изученности исследовательской литературы и источников, связанных с проблематикой работы. Полнота привлечения исследовательской литературы, изданной в последние 5 лет (учитывается наличие в списке использованной литературы материалов из библиотеки электронных ресурсов НИУ ВШЭ).</w:t>
      </w:r>
    </w:p>
    <w:p>
      <w:pPr>
        <w:pStyle w:val="Normal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 xml:space="preserve">Количество использованных научных работ на иностранном языке в количестве не менее 15 наименований, в том числе не менее 5 на восточном языке. Наличие списка использованных источников и литературы, оформленного в соответствии с требованиями ГОСТа. </w:t>
      </w:r>
      <w:r>
        <w:rPr>
          <w:rFonts w:cs="Times New Roman" w:ascii="Times New Roman" w:hAnsi="Times New Roman"/>
          <w:color w:val="1A1A1A" w:themeColor="background1" w:themeShade="1a"/>
          <w:lang w:eastAsia="en-US"/>
        </w:rPr>
        <w:t>В список использованной литературы включаются лишь те работы, на которые есть ссылки в тексте.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 xml:space="preserve">Адекватное использование научных понятий и терминов. Соответствие терминологии, используемой в </w:t>
      </w:r>
      <w:r>
        <w:rPr>
          <w:rFonts w:eastAsia="Times New Roman" w:cs="Times New Roman" w:ascii="Times New Roman" w:hAnsi="Times New Roman"/>
          <w:color w:val="1A1A1A" w:themeColor="background1" w:themeShade="1a"/>
          <w:shd w:fill="auto" w:val="clear"/>
        </w:rPr>
        <w:t>ВКР</w:t>
      </w:r>
      <w:r>
        <w:rPr>
          <w:rFonts w:eastAsia="Times New Roman" w:cs="Times New Roman" w:ascii="Times New Roman" w:hAnsi="Times New Roman"/>
          <w:color w:val="1A1A1A" w:themeColor="background1" w:themeShade="1a"/>
        </w:rPr>
        <w:t>, научной отрасли в рамках которой проводится исследование. Наличие подробно прописанной методологии и теоретической базы исследования, применение теорий и концепций, обозначенных во введении, при написании основной части ВКР.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cs="Times New Roman"/>
          <w:color w:val="1A1A1A" w:themeColor="background1" w:themeShade="1a"/>
          <w:szCs w:val="22"/>
        </w:rPr>
      </w:pPr>
      <w:r>
        <w:rPr>
          <w:rFonts w:cs="Times New Roman" w:ascii="Times New Roman" w:hAnsi="Times New Roman"/>
          <w:color w:val="1A1A1A" w:themeColor="background1" w:themeShade="1a"/>
          <w:szCs w:val="22"/>
        </w:rPr>
        <w:t>Достоверность приводимой в работе фактической информации, отсутствие фактических ошибок.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>Соответствие выводов поставленной цели и задачам, формулирование выводов с применением методик сравнения и обобщения.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 xml:space="preserve">Соответствие ВКР требованиям к соблюдению авторских прав. </w:t>
      </w:r>
      <w:r>
        <w:rPr>
          <w:rFonts w:eastAsia="Helvetica" w:cs="Times New Roman" w:ascii="Times New Roman" w:hAnsi="Times New Roman"/>
          <w:color w:val="1A1A1A" w:themeColor="background1" w:themeShade="1a"/>
          <w:lang w:eastAsia="en-US"/>
        </w:rPr>
        <w:t xml:space="preserve">Полное соответствие текста работы, оформления цитат, сносок основным требованиям к оформлению данного вида работ (подробнее см.: </w:t>
      </w:r>
      <w:hyperlink r:id="rId3">
        <w:r>
          <w:rPr>
            <w:rFonts w:eastAsia="Helvetica" w:cs="Times New Roman" w:ascii="Times New Roman" w:hAnsi="Times New Roman"/>
            <w:color w:val="1A1A1A" w:themeColor="background1" w:themeShade="1a"/>
            <w:u w:val="single"/>
            <w:lang w:eastAsia="en-US"/>
          </w:rPr>
          <w:t>https://www.hse.ru/studyspravka/plagiat</w:t>
        </w:r>
      </w:hyperlink>
      <w:r>
        <w:rPr>
          <w:rFonts w:eastAsia="Helvetica" w:cs="Times New Roman" w:ascii="Times New Roman" w:hAnsi="Times New Roman"/>
          <w:color w:val="1A1A1A" w:themeColor="background1" w:themeShade="1a"/>
          <w:lang w:eastAsia="en-US"/>
        </w:rPr>
        <w:t xml:space="preserve">). 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  <w:t xml:space="preserve">Строгое соблюдение лексических, фразеологических, грамматических и стилистических норм русского литературного языка, правил орфографии и пунктуации, а также </w:t>
      </w:r>
      <w:r>
        <w:rPr>
          <w:rFonts w:cs="Times New Roman" w:ascii="Times New Roman" w:hAnsi="Times New Roman"/>
          <w:color w:val="1A1A1A" w:themeColor="background1" w:themeShade="1a"/>
        </w:rPr>
        <w:t xml:space="preserve">правил транскрипции/транслитерации. </w:t>
      </w:r>
      <w:r>
        <w:rPr>
          <w:rFonts w:eastAsia="Times New Roman" w:cs="Times New Roman" w:ascii="Times New Roman" w:hAnsi="Times New Roman"/>
          <w:color w:val="1A1A1A" w:themeColor="background1" w:themeShade="1a"/>
        </w:rPr>
        <w:t>Соответствие иным требованиям к оформлению работы, указанным в «Правилах подготовки ВКР студентами ОП «Востоковедение».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cs="Times New Roman" w:ascii="Times New Roman" w:hAnsi="Times New Roman"/>
          <w:color w:val="1A1A1A" w:themeColor="background1" w:themeShade="1a"/>
        </w:rPr>
        <w:t>Научная значимость и новизна выполненного исследования, в том числе по сравнению с имеющейся на восточных языках литературой</w:t>
      </w:r>
      <w:r>
        <w:rPr>
          <w:rFonts w:eastAsia="Times New Roman" w:cs="Times New Roman" w:ascii="Times New Roman" w:hAnsi="Times New Roman"/>
          <w:color w:val="1A1A1A" w:themeColor="background1" w:themeShade="1a"/>
        </w:rPr>
        <w:t>. Наличие исследовательского компонента в работе.</w:t>
      </w:r>
    </w:p>
    <w:p>
      <w:pPr>
        <w:pStyle w:val="Normal"/>
        <w:numPr>
          <w:ilvl w:val="0"/>
          <w:numId w:val="2"/>
        </w:numPr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cs="Times New Roman" w:ascii="Times New Roman" w:hAnsi="Times New Roman"/>
          <w:color w:val="1A1A1A" w:themeColor="background1" w:themeShade="1a"/>
        </w:rPr>
        <w:t>Соблюдение графика подготовки и представления ВКР.</w:t>
      </w:r>
    </w:p>
    <w:p>
      <w:pPr>
        <w:pStyle w:val="Normal"/>
        <w:spacing w:lineRule="auto" w:line="252" w:before="100" w:after="160"/>
        <w:ind w:left="786" w:right="-1" w:hanging="0"/>
        <w:contextualSpacing/>
        <w:jc w:val="both"/>
        <w:rPr>
          <w:rFonts w:ascii="Times New Roman" w:hAnsi="Times New Roman" w:eastAsia="Times New Roman" w:cs="Times New Roman"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color w:val="1A1A1A" w:themeColor="background1" w:themeShade="1a"/>
        </w:rPr>
      </w:r>
    </w:p>
    <w:p>
      <w:pPr>
        <w:pStyle w:val="Normal"/>
        <w:spacing w:lineRule="auto" w:line="252" w:before="100" w:after="160"/>
        <w:ind w:right="-1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1A1A1A" w:themeColor="background1" w:themeShade="1a"/>
        </w:rPr>
      </w:pPr>
      <w:r>
        <w:rPr>
          <w:rFonts w:eastAsia="Times New Roman" w:cs="Times New Roman" w:ascii="Times New Roman" w:hAnsi="Times New Roman"/>
          <w:b/>
          <w:bCs/>
          <w:color w:val="1A1A1A" w:themeColor="background1" w:themeShade="1a"/>
        </w:rPr>
        <w:t>Оценка снижается за несоответствие ВКР каждому из перечисленных выше критериев на 1-5 баллов. Итоговая снижается до «0» баллов, если выявляется факт плагиата в тексте ВКР.</w:t>
      </w:r>
    </w:p>
    <w:p>
      <w:pPr>
        <w:pStyle w:val="Normal"/>
        <w:spacing w:before="0" w:after="200"/>
        <w:ind w:left="-567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2.2.4</w:t>
      </w:r>
      <w:r>
        <w:rPr>
          <w:rFonts w:eastAsia="Times New Roman" w:cs="Times New Roman" w:ascii="Times New Roman" w:hAnsi="Times New Roman"/>
          <w:bCs/>
          <w:color w:val="000000"/>
        </w:rPr>
        <w:tab/>
        <w:t>Ресурсы и материально-техническая база, необходимая для реализации ЭПП</w:t>
      </w:r>
    </w:p>
    <w:p>
      <w:pPr>
        <w:pStyle w:val="NormalWeb"/>
        <w:spacing w:before="280" w:after="280"/>
        <w:ind w:left="-567" w:firstLine="567"/>
        <w:jc w:val="both"/>
        <w:rPr>
          <w:rFonts w:eastAsia="" w:eastAsiaTheme="minorEastAsia"/>
        </w:rPr>
      </w:pPr>
      <w:r>
        <w:rPr>
          <w:rFonts w:eastAsia="" w:eastAsiaTheme="minorEastAsia"/>
        </w:rPr>
        <w:t xml:space="preserve">В работе над ВКР студенты используют материалы внешних ресурсов — библиотек, архивов, музеев,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>
      <w:pPr>
        <w:pStyle w:val="NormalWeb"/>
        <w:spacing w:before="280" w:after="280"/>
        <w:ind w:left="-567" w:right="-1" w:firstLine="567"/>
        <w:jc w:val="both"/>
        <w:rPr>
          <w:rFonts w:eastAsia="" w:eastAsiaTheme="minorEastAsia"/>
        </w:rPr>
      </w:pPr>
      <w:r>
        <w:rPr>
          <w:rFonts w:eastAsia="" w:eastAsiaTheme="minorEastAsia"/>
        </w:rPr>
        <w:t>2.2.5</w:t>
        <w:tab/>
        <w:t>Особенности выполнения заданий по ЭПП в условиях ограничительных или иных мер</w:t>
      </w:r>
    </w:p>
    <w:p>
      <w:pPr>
        <w:pStyle w:val="NormalWeb"/>
        <w:shd w:val="clear" w:color="auto" w:fill="FFFFFF"/>
        <w:spacing w:before="280" w:after="280"/>
        <w:ind w:left="-567" w:right="-1" w:firstLine="567"/>
        <w:jc w:val="both"/>
        <w:rPr>
          <w:color w:val="000000"/>
        </w:rPr>
      </w:pPr>
      <w:r>
        <w:rPr>
          <w:rFonts w:eastAsia=""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</w:t>
      </w:r>
    </w:p>
    <w:p>
      <w:pPr>
        <w:pStyle w:val="ListParagraph"/>
        <w:numPr>
          <w:ilvl w:val="1"/>
          <w:numId w:val="1"/>
        </w:numPr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ЭПП типа «Проекты»</w:t>
      </w:r>
    </w:p>
    <w:p>
      <w:pPr>
        <w:pStyle w:val="ListParagraph"/>
        <w:spacing w:beforeAutospacing="0" w:before="0" w:afterAutospacing="0" w:after="0"/>
        <w:ind w:left="-567"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2.3.1</w:t>
      </w:r>
      <w:r>
        <w:rPr>
          <w:rFonts w:eastAsia="Times New Roman" w:cs="Times New Roman" w:ascii="Times New Roman" w:hAnsi="Times New Roman"/>
        </w:rPr>
        <w:tab/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>
      <w:pPr>
        <w:pStyle w:val="ListParagraph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Проектная деятельность студентов относится к вариативной части учебного плана. Студенты ОП «Востоковедение» выбирают на «</w:t>
      </w:r>
      <w:hyperlink r:id="rId4">
        <w:r>
          <w:rPr>
            <w:rFonts w:eastAsia="Times New Roman" w:cs="Times New Roman" w:ascii="Times New Roman" w:hAnsi="Times New Roman"/>
          </w:rPr>
          <w:t>Ярмарке проектов</w:t>
        </w:r>
      </w:hyperlink>
      <w:r>
        <w:rPr>
          <w:rFonts w:eastAsia="Times New Roman" w:cs="Times New Roman" w:ascii="Times New Roman" w:hAnsi="Times New Roman"/>
        </w:rPr>
        <w:t xml:space="preserve">» НИУ ВШЭ исследовательские и прикладные проекты, групповые или индивидуальные, связанные с тематикой программы, соответствующие  целям обучения на ОП и помогающие развить у студентов ОП навыки и компетенции, предусмотренные в ОС НИУ ВШЭ, из числа рекомендованных академическим руководителем. </w:t>
      </w:r>
    </w:p>
    <w:p>
      <w:pPr>
        <w:pStyle w:val="ListParagraph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2.3.2</w:t>
      </w:r>
      <w:r>
        <w:rPr>
          <w:rFonts w:eastAsia="Times New Roman" w:cs="Times New Roman" w:ascii="Times New Roman" w:hAnsi="Times New Roman"/>
        </w:rPr>
        <w:tab/>
        <w:t>Академический руководитель ОП имеет возможность блокировать проектное предложение для студентов своей ОП, если проект не относится к сервисным проектам, и если академический руководитель считает, что предложенный проект не соответствует вышеперечисленным критериям. Заблокированное проектное предложение не отображается на «Ярмарке проектов» для студентов ОП, академический руководитель которой принял такое решение.</w:t>
      </w:r>
    </w:p>
    <w:p>
      <w:pPr>
        <w:pStyle w:val="NormalWeb"/>
        <w:spacing w:before="280" w:after="280"/>
        <w:ind w:left="-567" w:firstLine="567"/>
        <w:jc w:val="both"/>
        <w:rPr>
          <w:color w:val="000000"/>
        </w:rPr>
      </w:pPr>
      <w:r>
        <w:rPr>
          <w:color w:val="000000"/>
        </w:rPr>
        <w:t>Студенту не запрещается выполнять проекты из числа не рекомендованных 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>
      <w:pPr>
        <w:pStyle w:val="NormalWeb"/>
        <w:spacing w:before="280" w:after="280"/>
        <w:ind w:left="-567" w:firstLine="567"/>
        <w:jc w:val="both"/>
        <w:rPr/>
      </w:pPr>
      <w:r>
        <w:rPr/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 Доля сервисных проектов ограничена и не может</w:t>
      </w:r>
      <w:r>
        <w:rPr>
          <w:shd w:fill="auto" w:val="clear"/>
        </w:rPr>
        <w:t xml:space="preserve"> превышать 25% от указанного общего числа зачетных единиц, выделяемых на проектную деятельность в учебном п</w:t>
      </w:r>
      <w:r>
        <w:rPr/>
        <w:t>лане.</w:t>
      </w:r>
    </w:p>
    <w:p>
      <w:pPr>
        <w:pStyle w:val="NormalWeb"/>
        <w:spacing w:beforeAutospacing="0" w:before="280" w:afterAutospacing="0" w:after="480"/>
        <w:ind w:left="-567" w:right="-1" w:firstLine="567"/>
        <w:contextualSpacing/>
        <w:jc w:val="both"/>
        <w:rPr/>
      </w:pPr>
      <w:r>
        <w:rPr/>
        <w:t xml:space="preserve">Проектная деятельность студентов регламентируется </w:t>
      </w:r>
      <w:hyperlink r:id="rId5">
        <w:r>
          <w:rPr/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>
        <w:rPr/>
        <w:t>.</w:t>
      </w:r>
    </w:p>
    <w:p>
      <w:pPr>
        <w:pStyle w:val="NormalWeb"/>
        <w:spacing w:before="280" w:after="280"/>
        <w:ind w:left="-567" w:firstLine="567"/>
        <w:jc w:val="both"/>
        <w:rPr/>
      </w:pPr>
      <w:r>
        <w:rPr>
          <w:b/>
        </w:rPr>
        <w:t>2.3.3</w:t>
      </w:r>
      <w:r>
        <w:rPr/>
        <w:tab/>
        <w:t>Особенности и критерии оценивания:</w:t>
      </w:r>
    </w:p>
    <w:p>
      <w:pPr>
        <w:pStyle w:val="Normal"/>
        <w:tabs>
          <w:tab w:val="clear" w:pos="709"/>
          <w:tab w:val="left" w:pos="8788" w:leader="none"/>
        </w:tabs>
        <w:ind w:left="-567" w:right="-1" w:firstLine="56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Оценивание работы студента осуществляет руководитель проекта в соответствии с принципами, указанными в оценочном листе/ведомости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даты окончания проекта.</w:t>
      </w:r>
    </w:p>
    <w:p>
      <w:pPr>
        <w:pStyle w:val="Normal"/>
        <w:tabs>
          <w:tab w:val="clear" w:pos="709"/>
          <w:tab w:val="left" w:pos="8788" w:leader="none"/>
        </w:tabs>
        <w:ind w:left="-567" w:right="-1" w:firstLine="56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-567"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2.3.4</w:t>
        <w:tab/>
      </w:r>
      <w:r>
        <w:rPr>
          <w:rFonts w:eastAsia="Times New Roman" w:cs="Times New Roman" w:ascii="Times New Roman" w:hAnsi="Times New Roman"/>
          <w:bCs/>
          <w:color w:val="000000"/>
        </w:rPr>
        <w:t>Ресурсы и материально-техническая база, необходимая для реализации ЭПП:</w:t>
      </w:r>
    </w:p>
    <w:p>
      <w:pPr>
        <w:pStyle w:val="Normal"/>
        <w:ind w:left="-567" w:firstLine="567"/>
        <w:jc w:val="both"/>
        <w:rPr>
          <w:rFonts w:ascii="Times New Roman" w:hAnsi="Times New Roman" w:eastAsia="Times New Roman" w:cs="Times New Roman"/>
          <w:bCs/>
          <w:color w:val="000000"/>
          <w:u w:val="single"/>
        </w:rPr>
      </w:pPr>
      <w:r>
        <w:rPr>
          <w:rFonts w:eastAsia="Times New Roman" w:cs="Times New Roman" w:ascii="Times New Roman" w:hAnsi="Times New Roman"/>
          <w:bCs/>
          <w:color w:val="000000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>
      <w:pPr>
        <w:pStyle w:val="Normal"/>
        <w:ind w:left="-567" w:firstLine="567"/>
        <w:jc w:val="both"/>
        <w:rPr>
          <w:rFonts w:ascii="Times New Roman" w:hAnsi="Times New Roman" w:eastAsia="Times New Roman" w:cs="Times New Roman"/>
          <w:bCs/>
          <w:color w:val="000000"/>
          <w:u w:val="single"/>
        </w:rPr>
      </w:pPr>
      <w:r>
        <w:rPr>
          <w:rFonts w:eastAsia="Times New Roman" w:cs="Times New Roman" w:ascii="Times New Roman" w:hAnsi="Times New Roman"/>
          <w:bCs/>
          <w:color w:val="000000"/>
          <w:u w:val="single"/>
        </w:rPr>
      </w:r>
    </w:p>
    <w:p>
      <w:pPr>
        <w:pStyle w:val="Normal"/>
        <w:spacing w:beforeAutospacing="0" w:before="0" w:afterAutospacing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2.3.5</w:t>
      </w:r>
      <w:r>
        <w:rPr>
          <w:rFonts w:eastAsia="Times New Roman" w:cs="Times New Roman" w:ascii="Times New Roman" w:hAnsi="Times New Roman"/>
          <w:bCs/>
          <w:color w:val="000000"/>
        </w:rPr>
        <w:tab/>
        <w:t>Особенности выполнения заданий по ЭПП в условиях ограничительных или иных мер:</w:t>
      </w:r>
    </w:p>
    <w:p>
      <w:pPr>
        <w:pStyle w:val="NormalWeb"/>
        <w:shd w:val="clear" w:color="auto" w:fill="FFFFFF"/>
        <w:spacing w:before="280" w:after="280"/>
        <w:ind w:left="-567" w:hanging="0"/>
        <w:jc w:val="both"/>
        <w:rPr/>
      </w:pPr>
      <w:r>
        <w:rPr>
          <w:bCs/>
          <w:color w:val="000000"/>
        </w:rPr>
        <w:t xml:space="preserve">В условиях ограничительных мер предпочтение отдается проектам, реализация которых возможна в дистанционном формате. </w:t>
      </w:r>
      <w:r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>
      <w:pPr>
        <w:pStyle w:val="Normal"/>
        <w:tabs>
          <w:tab w:val="clear" w:pos="709"/>
          <w:tab w:val="left" w:pos="9355" w:leader="none"/>
        </w:tabs>
        <w:ind w:right="-1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1"/>
          <w:numId w:val="1"/>
        </w:numPr>
        <w:ind w:lef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ЭПП типа «Учебная практика»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b/>
        </w:rPr>
        <w:t>2.4.1</w:t>
      </w:r>
      <w:r>
        <w:rPr/>
        <w:tab/>
        <w:t xml:space="preserve">Цель ЭПП «Учебная практика» </w:t>
      </w:r>
      <w:r>
        <w:rPr>
          <w:rStyle w:val="Markedcontent"/>
        </w:rPr>
        <w:t xml:space="preserve">– на основании непосредственного знакомства с основами формирования библиотечных каталогов,  особенностями библиографического описания, библиотечным ГОСТом, </w:t>
      </w:r>
      <w:r>
        <w:rPr/>
        <w:t xml:space="preserve">развить у студентов навыки библиографического описания научной литературы на европейских и восточных языках.  Пререквизитами </w:t>
      </w:r>
      <w:r>
        <w:rPr>
          <w:color w:val="000000"/>
        </w:rPr>
        <w:t xml:space="preserve">является освоение предшествующей части образовательной программы в достаточном для прохождения этого вида практической подготовки объеме. </w:t>
      </w:r>
      <w:r>
        <w:rPr>
          <w:rStyle w:val="Markedcontent"/>
        </w:rPr>
        <w:t>Способ проведения практики – стационарная.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rStyle w:val="Markedcontent"/>
          <w:b/>
        </w:rPr>
        <w:t>2.4.2</w:t>
      </w:r>
      <w:r>
        <w:rPr>
          <w:rStyle w:val="Markedcontent"/>
        </w:rPr>
        <w:tab/>
        <w:t xml:space="preserve">Практика проходит в форме знакомства с библиотечными каталогами НИУ ВШЭ и РНБ, библиотечным ГОСТом, онлайн ресурсами библиотеки НИУ ВШЭ. </w:t>
      </w:r>
    </w:p>
    <w:p>
      <w:pPr>
        <w:pStyle w:val="Normal"/>
        <w:tabs>
          <w:tab w:val="clear" w:pos="709"/>
          <w:tab w:val="left" w:pos="-927" w:leader="none"/>
        </w:tabs>
        <w:spacing w:beforeAutospacing="0" w:before="0" w:afterAutospacing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Организация проведения практики осуществляется на базе НИУ ВШЭ. Практика проходит под руководством преподавателя Департамента востоковедения и африканистики  факультета Санкт-Петербургская школа социальных наук и востоковедения и сотрудника библиотеки НИУ ВШЭ СПБ.</w:t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  <w:shd w:fill="auto" w:val="clear"/>
        </w:rPr>
        <w:t xml:space="preserve">Распределенное прохождение библиографической  практики в течение учебного года не допускается. </w:t>
      </w:r>
      <w:r>
        <w:rPr>
          <w:rFonts w:eastAsia="Times New Roman" w:cs="Times New Roman" w:ascii="Times New Roman" w:hAnsi="Times New Roman"/>
          <w:bCs/>
        </w:rPr>
        <w:t>Участие в проектной деятельности не может быть зачтено за прохождение практики.</w:t>
      </w:r>
    </w:p>
    <w:p>
      <w:pPr>
        <w:pStyle w:val="Normal"/>
        <w:ind w:left="-567" w:firstLine="567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>Во время практики студенты должны выполнять индивидуальное задание согласно рабочему индивидуальному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>
      <w:pPr>
        <w:pStyle w:val="Normal"/>
        <w:ind w:left="-567" w:firstLine="567"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/>
          <w:bCs/>
        </w:rPr>
        <w:t>2.4.3</w:t>
      </w:r>
      <w:r>
        <w:rPr>
          <w:rFonts w:eastAsia="Times New Roman" w:cs="Times New Roman" w:ascii="Times New Roman" w:hAnsi="Times New Roman"/>
          <w:bCs/>
        </w:rPr>
        <w:tab/>
        <w:t>Особенности и критерии оценивания:</w:t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t xml:space="preserve"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 практики, индивидуальное задание, график практики и отчет в виде письменно выполненных 5-ти заданий из </w:t>
      </w:r>
      <w:r>
        <w:rPr>
          <w:rStyle w:val="Markedcontent"/>
          <w:rFonts w:eastAsia="Times New Roman" w:cs="Times New Roman" w:ascii="Times New Roman" w:hAnsi="Times New Roman"/>
          <w:b/>
          <w:bCs/>
        </w:rPr>
        <w:t xml:space="preserve">Правил проведения учебной (библиографической) практики </w:t>
      </w:r>
      <w:r>
        <w:rPr>
          <w:rStyle w:val="Markedcontent"/>
          <w:rFonts w:eastAsia="Times New Roman" w:cs="Times New Roman" w:ascii="Times New Roman" w:hAnsi="Times New Roman"/>
          <w:bCs/>
        </w:rPr>
        <w:t>(Приложение 3.)</w:t>
      </w:r>
      <w:r>
        <w:rPr>
          <w:rFonts w:eastAsia="Times New Roman" w:cs="Times New Roman" w:ascii="Times New Roman" w:hAnsi="Times New Roman"/>
          <w:bCs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/>
        </w:rPr>
        <w:t xml:space="preserve">Формула оценки заданий: </w:t>
      </w:r>
    </w:p>
    <w:p>
      <w:pPr>
        <w:pStyle w:val="Normal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/>
        </w:rPr>
        <w:t>О отчет =0,2*Оинд. зад.1+0,2*О инд. зад.2+0,2*Оинд. зад.3+0,2*Оинд. зад.4+0,2*Оинд. зад.5.</w:t>
      </w:r>
    </w:p>
    <w:p>
      <w:pPr>
        <w:pStyle w:val="Normal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</w:rPr>
      </w:pPr>
      <w:r>
        <w:rPr>
          <w:rFonts w:ascii="Times New Roman" w:hAnsi="Times New Roman"/>
        </w:rPr>
        <w:t>Итоговая  оценка по практике равна оценке за отчет с выполненными индивидуальными заданиями.</w:t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spacing w:before="0" w:after="0"/>
        <w:ind w:left="-567" w:firstLine="567"/>
        <w:contextualSpacing/>
        <w:jc w:val="both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2.4.4</w:t>
      </w:r>
      <w:r>
        <w:rPr>
          <w:rFonts w:eastAsia="Times New Roman" w:cs="Times New Roman" w:ascii="Times New Roman" w:hAnsi="Times New Roman"/>
          <w:bCs/>
          <w:color w:val="000000"/>
        </w:rPr>
        <w:tab/>
        <w:t>Ресурсы и материально-техническая база, необходимая для реализации ЭПП: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интернет-ресурсы. Студенты используют сайты библиотек  РНБ и НИУ ВШЭ, а также бумажные каталоги данных библиотек. </w:t>
      </w:r>
    </w:p>
    <w:p>
      <w:pPr>
        <w:pStyle w:val="NormalWeb"/>
        <w:spacing w:before="280" w:after="280"/>
        <w:ind w:left="-567" w:right="-1" w:firstLine="567"/>
        <w:jc w:val="both"/>
        <w:rPr>
          <w:shd w:fill="auto" w:val="clear"/>
        </w:rPr>
      </w:pPr>
      <w:r>
        <w:rPr>
          <w:color w:val="000000"/>
          <w:shd w:fill="auto" w:val="clear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>
      <w:pPr>
        <w:pStyle w:val="NormalWeb"/>
        <w:spacing w:before="280" w:after="280"/>
        <w:ind w:left="-567" w:right="-1" w:firstLine="567"/>
        <w:jc w:val="both"/>
        <w:rPr/>
      </w:pPr>
      <w:r>
        <w:rPr>
          <w:b/>
        </w:rPr>
        <w:t>2.4.5</w:t>
      </w:r>
      <w:r>
        <w:rPr/>
        <w:tab/>
      </w:r>
      <w:r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>
      <w:pPr>
        <w:pStyle w:val="NormalWeb"/>
        <w:shd w:val="clear" w:color="auto" w:fill="FFFFFF"/>
        <w:spacing w:before="280" w:after="280"/>
        <w:ind w:left="-567" w:firstLine="567"/>
        <w:jc w:val="both"/>
        <w:rPr/>
      </w:pPr>
      <w:r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 xml:space="preserve">Полная информация об учебной практике содержится в </w:t>
      </w:r>
      <w:r>
        <w:rPr>
          <w:rStyle w:val="Markedcontent"/>
          <w:rFonts w:cs="Times New Roman" w:ascii="Times New Roman" w:hAnsi="Times New Roman"/>
          <w:b/>
          <w:bCs/>
        </w:rPr>
        <w:t xml:space="preserve">Правилах проведения учебной  практики </w:t>
      </w:r>
      <w:r>
        <w:rPr>
          <w:rStyle w:val="Markedcontent"/>
          <w:rFonts w:cs="Times New Roman" w:ascii="Times New Roman" w:hAnsi="Times New Roman"/>
        </w:rPr>
        <w:t>(Приложение 3.)</w:t>
      </w:r>
    </w:p>
    <w:p>
      <w:pPr>
        <w:pStyle w:val="Normal"/>
        <w:ind w:left="-567" w:firstLine="567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firstLine="567"/>
        <w:jc w:val="both"/>
        <w:rPr/>
      </w:pPr>
      <w:r>
        <w:rPr>
          <w:rStyle w:val="Markedcontent"/>
          <w:rFonts w:cs="Times New Roman" w:ascii="Times New Roman" w:hAnsi="Times New Roman"/>
          <w:b/>
          <w:bCs/>
          <w:shd w:fill="auto" w:val="clear"/>
        </w:rPr>
        <w:t>2.5</w:t>
      </w:r>
      <w:r>
        <w:rPr>
          <w:rStyle w:val="Markedcontent"/>
          <w:rFonts w:cs="Times New Roman" w:ascii="Times New Roman" w:hAnsi="Times New Roman"/>
          <w:shd w:fill="auto" w:val="clear"/>
        </w:rPr>
        <w:t xml:space="preserve"> </w:t>
      </w:r>
      <w:r>
        <w:rPr>
          <w:rStyle w:val="Markedcontent"/>
          <w:rFonts w:cs="Times New Roman" w:ascii="Times New Roman" w:hAnsi="Times New Roman"/>
          <w:b/>
          <w:shd w:fill="auto" w:val="clear"/>
        </w:rPr>
        <w:t>ЭПП типа «Преддипломная практика»</w:t>
      </w:r>
    </w:p>
    <w:p>
      <w:pPr>
        <w:pStyle w:val="Normal"/>
        <w:ind w:left="-567" w:firstLine="567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ind w:left="-567" w:firstLine="567"/>
        <w:jc w:val="both"/>
        <w:rPr/>
      </w:pPr>
      <w:r>
        <w:rPr>
          <w:rStyle w:val="Markedcontent"/>
          <w:rFonts w:cs="Times New Roman" w:ascii="Times New Roman" w:hAnsi="Times New Roman"/>
          <w:b w:val="false"/>
          <w:bCs w:val="false"/>
          <w:shd w:fill="auto" w:val="clear"/>
        </w:rPr>
        <w:t xml:space="preserve">Цель и задачи данной практики определяются Академическим советом ОП перед началом учебного года. </w:t>
      </w:r>
    </w:p>
    <w:p>
      <w:pPr>
        <w:pStyle w:val="Normal"/>
        <w:ind w:left="-567" w:firstLine="567"/>
        <w:jc w:val="both"/>
        <w:rPr>
          <w:rFonts w:ascii="Times New Roman" w:hAnsi="Times New Roman" w:cs="Times New Roman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РАЗДЕЛ 3.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Особенности организации обучения для лиц с ограниченными возможностями здоровья и инвалидов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left="-567" w:right="-1" w:firstLine="56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>
      <w:pPr>
        <w:pStyle w:val="Normal"/>
        <w:ind w:left="-567" w:right="-1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– </w:t>
      </w:r>
      <w:r>
        <w:rPr>
          <w:rFonts w:eastAsia="Times New Roman" w:cs="Times New Roman" w:ascii="Times New Roman" w:hAnsi="Times New Roman"/>
          <w:color w:val="000000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консультации;</w:t>
      </w:r>
    </w:p>
    <w:p>
      <w:pPr>
        <w:pStyle w:val="Normal"/>
        <w:ind w:left="-567" w:right="-1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– </w:t>
      </w:r>
      <w:r>
        <w:rPr>
          <w:rFonts w:eastAsia="Times New Roman" w:cs="Times New Roman" w:ascii="Times New Roman" w:hAnsi="Times New Roman"/>
          <w:color w:val="000000"/>
        </w:rPr>
        <w:t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консультации;</w:t>
      </w:r>
    </w:p>
    <w:p>
      <w:pPr>
        <w:pStyle w:val="Normal"/>
        <w:ind w:left="-567" w:right="-1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– </w:t>
      </w:r>
      <w:r>
        <w:rPr>
          <w:rFonts w:eastAsia="Times New Roman" w:cs="Times New Roman" w:ascii="Times New Roman" w:hAnsi="Times New Roman"/>
          <w:color w:val="000000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>
      <w:pPr>
        <w:pStyle w:val="Normal"/>
        <w:ind w:left="-567" w:right="-1" w:firstLine="567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 для данных обучающихся. </w:t>
      </w:r>
    </w:p>
    <w:p>
      <w:pPr>
        <w:pStyle w:val="Normal"/>
        <w:tabs>
          <w:tab w:val="clear" w:pos="709"/>
          <w:tab w:val="left" w:pos="556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00FF"/>
      <w:u w:val="single"/>
    </w:rPr>
  </w:style>
  <w:style w:type="character" w:styleId="Style15" w:customStyle="1">
    <w:name w:val="Посещённая гиперссылка"/>
    <w:basedOn w:val="DefaultParagraphFont"/>
    <w:rPr>
      <w:color w:val="954F72" w:themeColor="followedHyperlink"/>
      <w:u w:val="single"/>
    </w:rPr>
  </w:style>
  <w:style w:type="character" w:styleId="Mcedatafileinfo" w:customStyle="1">
    <w:name w:val="mcedatafileinfo"/>
    <w:basedOn w:val="DefaultParagraphFont"/>
    <w:qFormat/>
    <w:rPr/>
  </w:style>
  <w:style w:type="character" w:styleId="File" w:customStyle="1">
    <w:name w:val="file"/>
    <w:basedOn w:val="DefaultParagraphFont"/>
    <w:qFormat/>
    <w:rPr/>
  </w:style>
  <w:style w:type="character" w:styleId="Markedcontent" w:customStyle="1">
    <w:name w:val="markedcontent"/>
    <w:basedOn w:val="DefaultParagraphFont"/>
    <w:qFormat/>
    <w:rPr/>
  </w:style>
  <w:style w:type="character" w:styleId="Style16" w:customStyle="1">
    <w:name w:val="Привязка сноски"/>
    <w:rPr>
      <w:vertAlign w:val="superscript"/>
    </w:rPr>
  </w:style>
  <w:style w:type="character" w:styleId="Style17" w:customStyle="1">
    <w:name w:val="Символ сноски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xt" w:customStyle="1">
    <w:name w:val="text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se.ru/studyspravka/plagiat" TargetMode="External"/><Relationship Id="rId3" Type="http://schemas.openxmlformats.org/officeDocument/2006/relationships/hyperlink" Target="https://www.hse.ru/studyspravka/plagiat" TargetMode="External"/><Relationship Id="rId4" Type="http://schemas.openxmlformats.org/officeDocument/2006/relationships/hyperlink" Target="https://www.hse.ru/org/hse/pfair/" TargetMode="External"/><Relationship Id="rId5" Type="http://schemas.openxmlformats.org/officeDocument/2006/relationships/hyperlink" Target="https://www.hse.ru/docs/490476951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Application>LibreOffice/7.0.1.2$Windows_X86_64 LibreOffice_project/7cbcfc562f6eb6708b5ff7d7397325de9e764452</Application>
  <Pages>8</Pages>
  <Words>3237</Words>
  <Characters>23365</Characters>
  <CharactersWithSpaces>26472</CharactersWithSpaces>
  <Paragraphs>199</Paragraphs>
  <Company>HSE SPb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2021-10-15T15:28:00Z</dcterms:created>
  <dc:creator/>
  <dc:description/>
  <dc:language>ru-RU</dc:language>
  <cp:lastModifiedBy/>
  <dcterms:modified xsi:type="dcterms:W3CDTF">2022-04-17T13:25:33Z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