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A61191">
      <w:pPr>
        <w:spacing w:before="3600"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990BCC" w:rsidRDefault="00990BCC" w:rsidP="00B35F2E">
      <w:pPr>
        <w:spacing w:after="0" w:line="23" w:lineRule="atLeast"/>
        <w:ind w:firstLine="567"/>
        <w:jc w:val="center"/>
        <w:rPr>
          <w:b/>
          <w:sz w:val="26"/>
          <w:szCs w:val="26"/>
        </w:rPr>
      </w:pPr>
    </w:p>
    <w:p w:rsidR="00B35F2E" w:rsidRPr="00990BCC" w:rsidRDefault="00990BCC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153E52" w:rsidRPr="00990BCC">
        <w:rPr>
          <w:rFonts w:ascii="Times New Roman" w:hAnsi="Times New Roman" w:cs="Times New Roman"/>
          <w:b/>
          <w:sz w:val="26"/>
          <w:szCs w:val="26"/>
          <w:u w:val="single"/>
        </w:rPr>
        <w:t>Математика и механика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(название программы)</w:t>
      </w:r>
    </w:p>
    <w:p w:rsidR="00B35F2E" w:rsidRPr="00990BCC" w:rsidRDefault="00153E5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990BCC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01.06.01</w:t>
      </w:r>
      <w:r w:rsidRPr="00990BC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990BCC">
        <w:rPr>
          <w:rFonts w:ascii="Times New Roman" w:hAnsi="Times New Roman" w:cs="Times New Roman"/>
          <w:b/>
          <w:sz w:val="26"/>
          <w:szCs w:val="26"/>
          <w:u w:val="single"/>
        </w:rPr>
        <w:t>«Математика и механика»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990BCC" w:rsidRPr="0047190E" w:rsidRDefault="00990BCC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90BCC" w:rsidRPr="00990BCC" w:rsidRDefault="00153E52" w:rsidP="00990BCC">
      <w:pPr>
        <w:pStyle w:val="a3"/>
        <w:spacing w:after="0" w:line="23" w:lineRule="atLeast"/>
        <w:ind w:left="0"/>
        <w:jc w:val="center"/>
        <w:rPr>
          <w:rFonts w:ascii="Times New Roman" w:hAnsi="Times New Roman"/>
          <w:b/>
          <w:color w:val="auto"/>
          <w:sz w:val="26"/>
          <w:szCs w:val="26"/>
          <w:u w:val="single"/>
        </w:rPr>
      </w:pPr>
      <w:r w:rsidRPr="00990BCC">
        <w:rPr>
          <w:rFonts w:ascii="Times New Roman" w:hAnsi="Times New Roman"/>
          <w:b/>
          <w:color w:val="auto"/>
          <w:sz w:val="26"/>
          <w:szCs w:val="26"/>
          <w:u w:val="single"/>
        </w:rPr>
        <w:t xml:space="preserve">"Вещественный, комплексный и функциональный анализ", </w:t>
      </w:r>
    </w:p>
    <w:p w:rsidR="00B35F2E" w:rsidRDefault="00153E52" w:rsidP="00990BCC">
      <w:pPr>
        <w:pStyle w:val="a3"/>
        <w:spacing w:after="0" w:line="23" w:lineRule="atLeast"/>
        <w:ind w:left="0"/>
        <w:jc w:val="center"/>
        <w:rPr>
          <w:rFonts w:ascii="Times New Roman" w:hAnsi="Times New Roman"/>
          <w:b/>
          <w:color w:val="auto"/>
          <w:sz w:val="26"/>
          <w:szCs w:val="26"/>
          <w:u w:val="single"/>
        </w:rPr>
      </w:pPr>
      <w:r w:rsidRPr="00990BCC">
        <w:rPr>
          <w:rFonts w:ascii="Times New Roman" w:hAnsi="Times New Roman"/>
          <w:b/>
          <w:color w:val="auto"/>
          <w:sz w:val="26"/>
          <w:szCs w:val="26"/>
          <w:u w:val="single"/>
        </w:rPr>
        <w:t>"Теория вероятности и математическая статистика"</w:t>
      </w:r>
    </w:p>
    <w:p w:rsidR="0060750B" w:rsidRPr="00990BCC" w:rsidRDefault="0060750B" w:rsidP="00990BCC">
      <w:pPr>
        <w:pStyle w:val="a3"/>
        <w:spacing w:after="0" w:line="23" w:lineRule="atLeast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</w:pPr>
      <w:r>
        <w:rPr>
          <w:rFonts w:ascii="Times New Roman" w:hAnsi="Times New Roman"/>
          <w:b/>
          <w:color w:val="auto"/>
          <w:sz w:val="26"/>
          <w:szCs w:val="26"/>
          <w:u w:val="single"/>
        </w:rPr>
        <w:t>«Дискретная математика и математическая кибернетика»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C9572F" w:rsidRDefault="00153E5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01</w:t>
            </w:r>
            <w:r w:rsidR="006379E9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.06.01 </w:t>
            </w:r>
            <w:r w:rsidR="00C9572F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«</w:t>
            </w: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Математика и механика</w:t>
            </w:r>
            <w:r w:rsidR="00C9572F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»</w:t>
            </w:r>
            <w:r w:rsidR="006379E9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,</w:t>
            </w:r>
          </w:p>
          <w:p w:rsidR="006379E9" w:rsidRPr="00C9572F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профил</w:t>
            </w:r>
            <w:r w:rsidR="00153E52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</w:t>
            </w: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(направленность) «</w:t>
            </w:r>
            <w:r w:rsidR="00153E52" w:rsidRPr="00C9572F">
              <w:rPr>
                <w:rFonts w:ascii="Times New Roman" w:hAnsi="Times New Roman"/>
                <w:color w:val="auto"/>
                <w:sz w:val="26"/>
                <w:szCs w:val="26"/>
              </w:rPr>
              <w:t>Вещественный, комплексный и функциональный анализ</w:t>
            </w: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»</w:t>
            </w:r>
            <w:r w:rsidR="00153E52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, «</w:t>
            </w:r>
            <w:r w:rsidR="00153E52" w:rsidRPr="00C9572F">
              <w:rPr>
                <w:rFonts w:ascii="Times New Roman" w:hAnsi="Times New Roman"/>
                <w:color w:val="auto"/>
                <w:sz w:val="26"/>
                <w:szCs w:val="26"/>
              </w:rPr>
              <w:t>Теория вероятности и математическая статистика</w:t>
            </w:r>
            <w:r w:rsidR="00153E52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»</w:t>
            </w:r>
            <w:r w:rsidR="0060750B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, </w:t>
            </w:r>
            <w:r w:rsidR="0060750B" w:rsidRPr="0060750B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«Дискретная математика и математическая кибернетика»</w:t>
            </w:r>
            <w:bookmarkStart w:id="0" w:name="_GoBack"/>
            <w:bookmarkEnd w:id="0"/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990BCC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Прот</w:t>
            </w:r>
            <w:r w:rsidR="009A51D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окол № 9 от 29.09.2017 решения У</w:t>
            </w: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ченого совета</w:t>
            </w:r>
            <w:r w:rsidR="009A51D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НИУ ВШЭ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153E5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01</w:t>
            </w: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.06.01 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«Математика и механика»</w:t>
            </w:r>
          </w:p>
          <w:p w:rsidR="006379E9" w:rsidRPr="006379E9" w:rsidRDefault="00990BCC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990BC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C9572F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24</w:t>
            </w:r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0 </w:t>
            </w:r>
            <w:proofErr w:type="spellStart"/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C9572F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</w:t>
            </w:r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C9572F" w:rsidRPr="00C9572F" w:rsidRDefault="00C9572F" w:rsidP="00C9572F">
      <w:pPr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9572F">
        <w:rPr>
          <w:rFonts w:ascii="Times New Roman" w:hAnsi="Times New Roman"/>
          <w:color w:val="auto"/>
          <w:sz w:val="28"/>
          <w:szCs w:val="28"/>
        </w:rPr>
        <w:t>Образовательная программа</w:t>
      </w:r>
      <w:r w:rsidR="00990BCC">
        <w:rPr>
          <w:rFonts w:ascii="Times New Roman" w:hAnsi="Times New Roman"/>
          <w:color w:val="auto"/>
          <w:sz w:val="28"/>
          <w:szCs w:val="28"/>
        </w:rPr>
        <w:t xml:space="preserve"> «Математика и механика»</w:t>
      </w:r>
      <w:r w:rsidRPr="00C9572F">
        <w:rPr>
          <w:rFonts w:ascii="Times New Roman" w:hAnsi="Times New Roman"/>
          <w:color w:val="auto"/>
          <w:sz w:val="28"/>
          <w:szCs w:val="28"/>
        </w:rPr>
        <w:t xml:space="preserve"> подготовки научно-педагогических кадров в аспирантуре по направлению </w:t>
      </w:r>
      <w:r w:rsidRPr="00C9572F">
        <w:rPr>
          <w:rFonts w:ascii="Times New Roman" w:hAnsi="Times New Roman"/>
          <w:bCs/>
          <w:color w:val="auto"/>
          <w:sz w:val="28"/>
          <w:szCs w:val="28"/>
        </w:rPr>
        <w:t>01.06.01 Математика и механика</w:t>
      </w:r>
      <w:r w:rsidRPr="00C9572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(профили подготовки (направленность) </w:t>
      </w:r>
      <w:r w:rsidRPr="006379E9"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bdr w:val="none" w:sz="0" w:space="0" w:color="auto"/>
          <w:lang w:eastAsia="zh-CN"/>
        </w:rPr>
        <w:t>«</w:t>
      </w:r>
      <w:r w:rsidRPr="00153E52">
        <w:rPr>
          <w:rFonts w:ascii="Times New Roman" w:hAnsi="Times New Roman"/>
          <w:color w:val="auto"/>
          <w:sz w:val="28"/>
          <w:szCs w:val="28"/>
        </w:rPr>
        <w:t>Вещественный, комплексный и функциональный анализ</w:t>
      </w:r>
      <w:r w:rsidRPr="006379E9"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bdr w:val="none" w:sz="0" w:space="0" w:color="auto"/>
          <w:lang w:eastAsia="zh-CN"/>
        </w:rPr>
        <w:t>»</w:t>
      </w:r>
      <w:r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bdr w:val="none" w:sz="0" w:space="0" w:color="auto"/>
          <w:lang w:eastAsia="zh-CN"/>
        </w:rPr>
        <w:t>, «</w:t>
      </w:r>
      <w:r w:rsidRPr="00153E52">
        <w:rPr>
          <w:rFonts w:ascii="Times New Roman" w:hAnsi="Times New Roman"/>
          <w:color w:val="auto"/>
          <w:sz w:val="28"/>
          <w:szCs w:val="28"/>
        </w:rPr>
        <w:t>Теория вероятности и математическая статистика</w:t>
      </w:r>
      <w:r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bdr w:val="none" w:sz="0" w:space="0" w:color="auto"/>
          <w:lang w:eastAsia="zh-CN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C9572F">
        <w:rPr>
          <w:rFonts w:ascii="Times New Roman" w:hAnsi="Times New Roman"/>
          <w:color w:val="auto"/>
          <w:sz w:val="28"/>
          <w:szCs w:val="28"/>
        </w:rPr>
        <w:t>созда</w:t>
      </w:r>
      <w:r>
        <w:rPr>
          <w:rFonts w:ascii="Times New Roman" w:hAnsi="Times New Roman"/>
          <w:color w:val="auto"/>
          <w:sz w:val="28"/>
          <w:szCs w:val="28"/>
        </w:rPr>
        <w:t>на</w:t>
      </w:r>
      <w:r w:rsidRPr="00C9572F">
        <w:rPr>
          <w:rFonts w:ascii="Times New Roman" w:hAnsi="Times New Roman"/>
          <w:color w:val="auto"/>
          <w:sz w:val="28"/>
          <w:szCs w:val="28"/>
        </w:rPr>
        <w:t xml:space="preserve"> на базе НИУ ВШЭ </w:t>
      </w:r>
      <w:r w:rsidRPr="00C9572F">
        <w:rPr>
          <w:rFonts w:ascii="Times New Roman" w:hAnsi="Times New Roman"/>
          <w:color w:val="auto"/>
          <w:sz w:val="28"/>
          <w:szCs w:val="28"/>
        </w:rPr>
        <w:noBreakHyphen/>
        <w:t> Санкт-Петербург. Санкт-Петербургский филиал НИУ ВШЭ является одним из ведущих учебных и научно-исследовательских университетов в Северо-Западном федеральном округе. Как часть всей системы НИУ ВШЭ, объединяющей в своих кампусах учебную структуру, научные подразделения, в том числе и международные лаборатории, НИУ ВШЭ </w:t>
      </w:r>
      <w:r w:rsidRPr="00C9572F">
        <w:rPr>
          <w:rFonts w:ascii="Times New Roman" w:hAnsi="Times New Roman"/>
          <w:color w:val="auto"/>
          <w:sz w:val="28"/>
          <w:szCs w:val="28"/>
        </w:rPr>
        <w:noBreakHyphen/>
        <w:t xml:space="preserve"> Санкт-Петербург успешно, последовательно и устойчиво реализует образовательные программы всех трех уровней: бакалавриат, магистратура, аспирантура по ключевым направлениям ВУЗа. В этом контексте аспирантура по специальности </w:t>
      </w:r>
      <w:r w:rsidRPr="00C9572F">
        <w:rPr>
          <w:rFonts w:ascii="Times New Roman" w:hAnsi="Times New Roman"/>
          <w:bCs/>
          <w:color w:val="auto"/>
          <w:sz w:val="28"/>
          <w:szCs w:val="28"/>
        </w:rPr>
        <w:t xml:space="preserve">01.06.01 Математика и механика </w:t>
      </w:r>
      <w:r w:rsidR="004912DC">
        <w:rPr>
          <w:rFonts w:ascii="Times New Roman" w:hAnsi="Times New Roman"/>
          <w:bCs/>
          <w:color w:val="auto"/>
          <w:sz w:val="28"/>
          <w:szCs w:val="28"/>
        </w:rPr>
        <w:t xml:space="preserve">является важным элементом </w:t>
      </w:r>
      <w:r w:rsidRPr="00C9572F">
        <w:rPr>
          <w:rFonts w:ascii="Times New Roman" w:hAnsi="Times New Roman"/>
          <w:bCs/>
          <w:color w:val="auto"/>
          <w:sz w:val="28"/>
          <w:szCs w:val="28"/>
        </w:rPr>
        <w:t>в структуре аспирантуры НИУ ВШЭ – </w:t>
      </w:r>
      <w:r w:rsidRPr="00C9572F">
        <w:rPr>
          <w:rFonts w:ascii="Times New Roman" w:hAnsi="Times New Roman"/>
          <w:color w:val="auto"/>
          <w:sz w:val="28"/>
          <w:szCs w:val="28"/>
        </w:rPr>
        <w:t>Санкт-Петербург с очевидной фундаментальной направленностью, имеющей собственную ценность и чрезвычайно полезную для приложений.</w:t>
      </w:r>
    </w:p>
    <w:p w:rsidR="00C9572F" w:rsidRPr="00C9572F" w:rsidRDefault="00C9572F" w:rsidP="00C9572F">
      <w:pPr>
        <w:spacing w:after="0"/>
        <w:ind w:firstLine="54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9572F">
        <w:rPr>
          <w:rFonts w:ascii="Times New Roman" w:hAnsi="Times New Roman"/>
          <w:color w:val="auto"/>
          <w:sz w:val="28"/>
          <w:szCs w:val="28"/>
        </w:rPr>
        <w:t xml:space="preserve">В настоящее время научные направления и научные школы во всем мире </w:t>
      </w:r>
      <w:r w:rsidR="004912DC">
        <w:rPr>
          <w:rFonts w:ascii="Times New Roman" w:hAnsi="Times New Roman"/>
          <w:color w:val="auto"/>
          <w:sz w:val="28"/>
          <w:szCs w:val="28"/>
        </w:rPr>
        <w:t xml:space="preserve">проходят </w:t>
      </w:r>
      <w:r w:rsidRPr="00C9572F">
        <w:rPr>
          <w:rFonts w:ascii="Times New Roman" w:hAnsi="Times New Roman"/>
          <w:color w:val="auto"/>
          <w:sz w:val="28"/>
          <w:szCs w:val="28"/>
        </w:rPr>
        <w:t>этап очередного планирования и выбора парадигмы развития. В этом контексте важным вопросом является процесс обеспечения непрерывной и эффективной преемственности научных поколений, способных, опираясь на лучшие достижения коллег, внести свой новый вклад в науку и в свою очередь принять эстафету в образовательной деятельности и развитии исследовательского потенциала.</w:t>
      </w:r>
    </w:p>
    <w:p w:rsidR="00C9572F" w:rsidRDefault="00C9572F" w:rsidP="00C957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9572F">
        <w:rPr>
          <w:rFonts w:ascii="Times New Roman" w:hAnsi="Times New Roman"/>
          <w:color w:val="auto"/>
          <w:sz w:val="28"/>
          <w:szCs w:val="28"/>
        </w:rPr>
        <w:lastRenderedPageBreak/>
        <w:t>Актуальность создания данной программы связана с необходимостью расширения подготовки кадров высшей квалификации в математике для удовлетворения потребности в омоложении кадров большого количества кафедр математики в технических и экономических вузах Санкт-Петербурга и за его пределами, и для подготовки конкурентоспособных на международном научном поле исследователей по упомянутым выше математическим профилям.</w:t>
      </w:r>
    </w:p>
    <w:p w:rsidR="00C9572F" w:rsidRPr="00C9572F" w:rsidRDefault="00C9572F" w:rsidP="00C9572F">
      <w:pPr>
        <w:pStyle w:val="a6"/>
        <w:ind w:firstLine="567"/>
        <w:contextualSpacing/>
        <w:rPr>
          <w:rFonts w:eastAsia="Calibri" w:cs="Calibri"/>
          <w:sz w:val="28"/>
          <w:szCs w:val="28"/>
          <w:bdr w:val="nil"/>
          <w:lang w:eastAsia="ru-RU"/>
        </w:rPr>
      </w:pPr>
      <w:r w:rsidRPr="00C9572F">
        <w:rPr>
          <w:rFonts w:eastAsia="Calibri" w:cs="Calibri"/>
          <w:sz w:val="28"/>
          <w:szCs w:val="28"/>
          <w:bdr w:val="nil"/>
          <w:lang w:eastAsia="ru-RU"/>
        </w:rPr>
        <w:t>Наличие в НИУ ВШЭ </w:t>
      </w:r>
      <w:r w:rsidRPr="00C9572F">
        <w:rPr>
          <w:rFonts w:eastAsia="Calibri" w:cs="Calibri"/>
          <w:sz w:val="28"/>
          <w:szCs w:val="28"/>
          <w:bdr w:val="nil"/>
          <w:lang w:eastAsia="ru-RU"/>
        </w:rPr>
        <w:noBreakHyphen/>
        <w:t> Санкт-Петербург аспирантуры по вышеупомянутой математической специальности укрепит положение Санкт-Петербургского кампуса НИУ ВШЭ среди петербургских вузов. Научно-педагогический опыт и потенциал предлагаемого кадрового состава позволяет рассчитывать на успешную работу с аспирантами.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946554" w:rsidRPr="00946554" w:rsidRDefault="00946554" w:rsidP="00946554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46554">
        <w:rPr>
          <w:rFonts w:ascii="Times New Roman" w:hAnsi="Times New Roman"/>
          <w:color w:val="auto"/>
          <w:sz w:val="28"/>
          <w:szCs w:val="28"/>
        </w:rPr>
        <w:t>Цель программы – подготовка уникальных специалистов, владеющих набором компетенций, связанных с исследованием математических структур в вещественном, комплексном и функциональном анализе,</w:t>
      </w:r>
      <w:r w:rsidR="004912DC">
        <w:rPr>
          <w:rFonts w:ascii="Times New Roman" w:hAnsi="Times New Roman"/>
          <w:color w:val="auto"/>
          <w:sz w:val="28"/>
          <w:szCs w:val="28"/>
        </w:rPr>
        <w:t xml:space="preserve"> теории вероятностей и математической статистике</w:t>
      </w:r>
      <w:r w:rsidR="00A61191">
        <w:rPr>
          <w:rFonts w:ascii="Times New Roman" w:hAnsi="Times New Roman"/>
          <w:color w:val="auto"/>
          <w:sz w:val="28"/>
          <w:szCs w:val="28"/>
        </w:rPr>
        <w:t>,</w:t>
      </w:r>
      <w:r w:rsidRPr="00946554">
        <w:rPr>
          <w:rFonts w:ascii="Times New Roman" w:hAnsi="Times New Roman"/>
          <w:color w:val="auto"/>
          <w:sz w:val="28"/>
          <w:szCs w:val="28"/>
        </w:rPr>
        <w:t xml:space="preserve"> готовых к профессиональной научной и педагогической деятельности.</w:t>
      </w:r>
    </w:p>
    <w:p w:rsidR="00946554" w:rsidRPr="00946554" w:rsidRDefault="00946554" w:rsidP="00946554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46554">
        <w:rPr>
          <w:rFonts w:ascii="Times New Roman" w:hAnsi="Times New Roman"/>
          <w:color w:val="auto"/>
          <w:sz w:val="28"/>
          <w:szCs w:val="28"/>
        </w:rPr>
        <w:t>Для реализации этой цели разработан сбалансированный учебный план, сочетающий в себе теоретические элементы и самостоятельную исследовательскую работу аспирантов под руководством ведущих ученых.</w:t>
      </w:r>
    </w:p>
    <w:p w:rsidR="00946554" w:rsidRDefault="00946554" w:rsidP="00946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46554">
        <w:rPr>
          <w:rFonts w:ascii="Times New Roman" w:hAnsi="Times New Roman"/>
          <w:color w:val="auto"/>
          <w:sz w:val="28"/>
          <w:szCs w:val="28"/>
        </w:rPr>
        <w:t>Данная программа направлена на расширение классических результатов в указанных областях математики новыми актуальными исследовательскими перспективами, касающихся ряда открытых задач и представляющих интерес в современной математической науке. Кроме того, предполагается обратить внимание на постановку новых задач как важной составляющей исследовательского процесса. Это несомненно сделает программу привлекательной для молодых высокомотивированных выпускников вузов, имеющих интерес к фундаментальным математическим исследованиям, готовых работать не только в рамках современных тенденций математики, но и иметь дерзость вкладываться в разработку парадигмы будущего математических направлений.</w:t>
      </w:r>
    </w:p>
    <w:p w:rsidR="00B35F2E" w:rsidRPr="00B35F2E" w:rsidRDefault="00B35F2E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B35F2E" w:rsidRPr="00FF2B51" w:rsidRDefault="00B35F2E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FF2B51">
        <w:rPr>
          <w:rFonts w:ascii="Times New Roman" w:hAnsi="Times New Roman"/>
          <w:color w:val="auto"/>
          <w:sz w:val="28"/>
          <w:szCs w:val="28"/>
          <w:u w:val="single"/>
        </w:rPr>
        <w:t>а) Научно-исследовательская деятельность:</w:t>
      </w:r>
    </w:p>
    <w:p w:rsidR="006020E4" w:rsidRPr="00FF2B51" w:rsidRDefault="00B35F2E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>развить у аспирантов навыки научной работы посредством участия в научно-исследовательских семинарах, в конференциях и в организации конференций в течение всего срока обучения</w:t>
      </w:r>
      <w:r w:rsidR="00FF2B51">
        <w:rPr>
          <w:rFonts w:ascii="Times New Roman" w:hAnsi="Times New Roman"/>
          <w:color w:val="auto"/>
          <w:sz w:val="28"/>
          <w:szCs w:val="28"/>
        </w:rPr>
        <w:t>;</w:t>
      </w:r>
    </w:p>
    <w:p w:rsidR="006020E4" w:rsidRPr="00FF2B51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>с</w:t>
      </w:r>
      <w:r w:rsidR="00766529" w:rsidRPr="00FF2B51">
        <w:rPr>
          <w:rFonts w:ascii="Times New Roman" w:hAnsi="Times New Roman"/>
          <w:color w:val="auto"/>
          <w:sz w:val="28"/>
          <w:szCs w:val="28"/>
        </w:rPr>
        <w:t xml:space="preserve">формировать способность вести исследования в интернациональном коллективе исследователей, что обеспечивается владением научной информацией, относящейся к изучаемому профилю, на мировом </w:t>
      </w:r>
      <w:r w:rsidR="00766529" w:rsidRPr="00FF2B51">
        <w:rPr>
          <w:rFonts w:ascii="Times New Roman" w:hAnsi="Times New Roman"/>
          <w:color w:val="auto"/>
          <w:sz w:val="28"/>
          <w:szCs w:val="28"/>
        </w:rPr>
        <w:lastRenderedPageBreak/>
        <w:t>уровне, и владение английским языком на уровне академического и профессионального сообщества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FF2B51" w:rsidRPr="00FF2B51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Segoe UI Symbol" w:hAnsi="Segoe UI Symbol" w:cs="Segoe UI Symbol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>развить широкий математический кругозор в области понятий, гипотез, теорем, математических моделей, численных алгоритмов и программ, составляющих содержание фундаментальной и прикладной математики и механики, теории вероятностей и математической статистики, владение современным подходом к изучению математических проблем;</w:t>
      </w:r>
    </w:p>
    <w:p w:rsidR="00FF2B51" w:rsidRPr="00FF2B51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>развить навыки позиционирования себя как сложившегося исследователя, работающего в русле актуальных мировых математических тенденций и понимающего свой личный вклад в развитие выбранного научного направления. Все эти качества выпускника должны отражаться в подготовленной им диссертации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766529" w:rsidRDefault="00B35F2E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766529">
        <w:rPr>
          <w:rFonts w:ascii="Times New Roman" w:hAnsi="Times New Roman"/>
          <w:color w:val="auto"/>
          <w:sz w:val="28"/>
          <w:szCs w:val="28"/>
          <w:u w:val="single"/>
        </w:rPr>
        <w:t>б) Педагогическая деятельность:</w:t>
      </w:r>
    </w:p>
    <w:p w:rsidR="00766529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auto"/>
          <w:sz w:val="28"/>
          <w:szCs w:val="28"/>
        </w:rPr>
        <w:t>навыки</w:t>
      </w:r>
      <w:r w:rsidRPr="00FF2B51">
        <w:rPr>
          <w:rFonts w:ascii="Times New Roman" w:hAnsi="Times New Roman"/>
          <w:color w:val="auto"/>
          <w:sz w:val="28"/>
          <w:szCs w:val="28"/>
        </w:rPr>
        <w:t>, позволяющие аспиранту вести преподавательскую деятельность. Аспирант должен быть знаком с особенностями преподавания математических дисциплин, владеть приемами и методикой преподавания в высшей школе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FF2B51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сформировать умения, позволяющие </w:t>
      </w:r>
      <w:r w:rsidRPr="00B35F2E">
        <w:rPr>
          <w:rFonts w:ascii="Times New Roman" w:hAnsi="Times New Roman"/>
          <w:color w:val="auto"/>
          <w:sz w:val="28"/>
          <w:szCs w:val="28"/>
        </w:rPr>
        <w:t>разраб</w:t>
      </w:r>
      <w:r w:rsidR="00723FFE">
        <w:rPr>
          <w:rFonts w:ascii="Times New Roman" w:hAnsi="Times New Roman"/>
          <w:color w:val="auto"/>
          <w:sz w:val="28"/>
          <w:szCs w:val="28"/>
        </w:rPr>
        <w:t>а</w:t>
      </w:r>
      <w:r w:rsidRPr="00B35F2E">
        <w:rPr>
          <w:rFonts w:ascii="Times New Roman" w:hAnsi="Times New Roman"/>
          <w:color w:val="auto"/>
          <w:sz w:val="28"/>
          <w:szCs w:val="28"/>
        </w:rPr>
        <w:t>т</w:t>
      </w:r>
      <w:r w:rsidR="00723FFE">
        <w:rPr>
          <w:rFonts w:ascii="Times New Roman" w:hAnsi="Times New Roman"/>
          <w:color w:val="auto"/>
          <w:sz w:val="28"/>
          <w:szCs w:val="28"/>
        </w:rPr>
        <w:t>ывать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учебны</w:t>
      </w:r>
      <w:r w:rsidR="00723FFE">
        <w:rPr>
          <w:rFonts w:ascii="Times New Roman" w:hAnsi="Times New Roman"/>
          <w:color w:val="auto"/>
          <w:sz w:val="28"/>
          <w:szCs w:val="28"/>
        </w:rPr>
        <w:t>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курс</w:t>
      </w:r>
      <w:r w:rsidR="00723FFE">
        <w:rPr>
          <w:rFonts w:ascii="Times New Roman" w:hAnsi="Times New Roman"/>
          <w:color w:val="auto"/>
          <w:sz w:val="28"/>
          <w:szCs w:val="28"/>
        </w:rPr>
        <w:t>ы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723FFE">
        <w:rPr>
          <w:rFonts w:ascii="Times New Roman" w:hAnsi="Times New Roman"/>
          <w:color w:val="auto"/>
          <w:sz w:val="28"/>
          <w:szCs w:val="28"/>
        </w:rPr>
        <w:t xml:space="preserve">различным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областям профессиональной деятельности, включая подготовку методических материалов, учебных пособий и учебников; 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A2793A" w:rsidRPr="00A2793A" w:rsidRDefault="00A2793A" w:rsidP="00A279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Основные целевые группы, на которые ориентируется данная программа:</w:t>
      </w:r>
    </w:p>
    <w:p w:rsidR="00A2793A" w:rsidRPr="00A2793A" w:rsidRDefault="00A2793A" w:rsidP="006020E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Выпускники магистерских программ математических факультетов университетов Москвы, Санкт-Петербурга, Новосибирска, Екатеринбурга, Красноярска, Уфы, Казани</w:t>
      </w:r>
      <w:r>
        <w:rPr>
          <w:rFonts w:ascii="Times New Roman" w:hAnsi="Times New Roman"/>
          <w:color w:val="auto"/>
          <w:sz w:val="28"/>
          <w:szCs w:val="28"/>
        </w:rPr>
        <w:t>, других крупных городов Российской Федерации</w:t>
      </w:r>
      <w:r w:rsidRPr="00A2793A">
        <w:rPr>
          <w:rFonts w:ascii="Times New Roman" w:hAnsi="Times New Roman"/>
          <w:color w:val="auto"/>
          <w:sz w:val="28"/>
          <w:szCs w:val="28"/>
        </w:rPr>
        <w:t>.</w:t>
      </w:r>
    </w:p>
    <w:p w:rsidR="00A2793A" w:rsidRPr="00A2793A" w:rsidRDefault="00A2793A" w:rsidP="006020E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Выпускники магистерских программ по прикладной математике ведущих технических вузов перечисленных в п.1 центров.</w:t>
      </w:r>
    </w:p>
    <w:p w:rsidR="00A2793A" w:rsidRDefault="00A2793A" w:rsidP="006020E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Выпускники магистерских программ НИУ ВШЭ, имеющие квалификацию магистра по направлениям «Экономика» и «Прикладная математика и информатика».</w:t>
      </w:r>
    </w:p>
    <w:p w:rsidR="00A2793A" w:rsidRPr="00A2793A" w:rsidRDefault="00A2793A" w:rsidP="006020E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Выпускники зарубежных университетов, заинтересованные в исследованиях в рамках конкретной тематики, поддерживаемой ведущими учеными в этих областях – преподавателями данной аспирантской программы.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A2793A" w:rsidRPr="00A2793A" w:rsidRDefault="00A2793A" w:rsidP="00A2793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Р</w:t>
      </w:r>
      <w:r w:rsidRPr="00A2793A">
        <w:rPr>
          <w:rFonts w:ascii="Times New Roman" w:hAnsi="Times New Roman"/>
          <w:color w:val="auto"/>
          <w:sz w:val="28"/>
          <w:szCs w:val="28"/>
        </w:rPr>
        <w:t>азвитие аспирантуры в НИУ ВШЭ – Санкт-Петербург востребовано в образовательной системе вузов Санкт-Петербурга. Устойчивые связи и сотрудничество НИУ ВШЭ </w:t>
      </w:r>
      <w:r w:rsidRPr="00A2793A">
        <w:rPr>
          <w:rFonts w:ascii="Times New Roman" w:hAnsi="Times New Roman"/>
          <w:color w:val="auto"/>
          <w:sz w:val="28"/>
          <w:szCs w:val="28"/>
        </w:rPr>
        <w:noBreakHyphen/>
        <w:t> Санкт-Петербург с ведущими техническими и экономическими вузами Санкт-Петербурга и других городов (Санкт-Петербургский национальный исследовательский университет информационных технологий, механики и оптики – Университет ИТМО, Санкт-Петербургский государственный электротехнический университет «ЛЭТИ» им. В.И. Ульянова (Ленина) (</w:t>
      </w:r>
      <w:proofErr w:type="spellStart"/>
      <w:r w:rsidRPr="00A2793A">
        <w:rPr>
          <w:rFonts w:ascii="Times New Roman" w:hAnsi="Times New Roman"/>
          <w:color w:val="auto"/>
          <w:sz w:val="28"/>
          <w:szCs w:val="28"/>
        </w:rPr>
        <w:t>СПбГЭТУ</w:t>
      </w:r>
      <w:proofErr w:type="spellEnd"/>
      <w:r w:rsidRPr="00A2793A">
        <w:rPr>
          <w:rFonts w:ascii="Times New Roman" w:hAnsi="Times New Roman"/>
          <w:color w:val="auto"/>
          <w:sz w:val="28"/>
          <w:szCs w:val="28"/>
        </w:rPr>
        <w:t xml:space="preserve"> «ЛЭТИ»), Санкт-Петербургский политехнический университет Петра Великого, Санкт-Петербургский государственный технологический институт (технический университет), Санкт-Петербургский государственный университет аэрокосмического приборостроения, Санкт-Петербургский национальный исследовательский академический Российской Академии наук университет (Академический университет), Санкт-Петербургский государственный экономический университет, Европейский университет в Санкт-Петербурге и др.) </w:t>
      </w:r>
      <w:r w:rsidR="00A61191">
        <w:rPr>
          <w:rFonts w:ascii="Times New Roman" w:hAnsi="Times New Roman"/>
          <w:color w:val="auto"/>
          <w:sz w:val="28"/>
          <w:szCs w:val="28"/>
        </w:rPr>
        <w:t>вызывают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в соответствующих академических организациях интерес к аспирантам и молодым специалистам со степенью кандидата наук для реализации фундаментальных исследований и их привлечения в образовательную среду.</w:t>
      </w:r>
    </w:p>
    <w:p w:rsidR="00A2793A" w:rsidRPr="00A2793A" w:rsidRDefault="00A2793A" w:rsidP="00A2793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Конкурентным преимуществом программы является связь с программой Аспирантской школы по математике НИУ ВШЭ в Москве и возможная связь с программой аспирантуры ПОМИ РАН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2793A">
        <w:rPr>
          <w:rFonts w:ascii="Times New Roman" w:hAnsi="Times New Roman"/>
          <w:color w:val="auto"/>
          <w:sz w:val="28"/>
          <w:szCs w:val="28"/>
        </w:rPr>
        <w:t>Внутриматематические</w:t>
      </w:r>
      <w:proofErr w:type="spellEnd"/>
      <w:r w:rsidRPr="00A2793A">
        <w:rPr>
          <w:rFonts w:ascii="Times New Roman" w:hAnsi="Times New Roman"/>
          <w:color w:val="auto"/>
          <w:sz w:val="28"/>
          <w:szCs w:val="28"/>
        </w:rPr>
        <w:t xml:space="preserve"> направления исследований дополняют те направления, которые имеются на математическом факультете НИУ ВШЭ.</w:t>
      </w:r>
    </w:p>
    <w:p w:rsidR="00A2793A" w:rsidRPr="00A2793A" w:rsidRDefault="00A2793A" w:rsidP="00A2793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Преподаватели, которые привлечены для реализации образовательной программы, имеют учеников, защитивших сильные диссертации по соответствующим направлениям математики и продолжающих образовательную и научную деятельность в академических и научно-исследовательских организациях Санкт-Петербурга, других городов России, Европе и США.</w:t>
      </w:r>
    </w:p>
    <w:p w:rsidR="00A2793A" w:rsidRPr="00A2793A" w:rsidRDefault="00A2793A" w:rsidP="00A279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A2793A">
        <w:rPr>
          <w:rFonts w:ascii="Times New Roman" w:hAnsi="Times New Roman"/>
          <w:color w:val="auto"/>
          <w:sz w:val="28"/>
          <w:szCs w:val="28"/>
        </w:rPr>
        <w:t>бразовательн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/>
          <w:color w:val="auto"/>
          <w:sz w:val="28"/>
          <w:szCs w:val="28"/>
        </w:rPr>
        <w:t xml:space="preserve">аспирантуры по профилям подготовки </w:t>
      </w:r>
      <w:r w:rsidRPr="00A2793A">
        <w:rPr>
          <w:rFonts w:ascii="Times New Roman" w:hAnsi="Times New Roman"/>
          <w:color w:val="auto"/>
          <w:sz w:val="28"/>
          <w:szCs w:val="28"/>
        </w:rPr>
        <w:t>«Вещественный, комплексный и функциональный анализ»</w:t>
      </w:r>
      <w:r>
        <w:rPr>
          <w:rFonts w:ascii="Times New Roman" w:hAnsi="Times New Roman"/>
          <w:color w:val="auto"/>
          <w:sz w:val="28"/>
          <w:szCs w:val="28"/>
        </w:rPr>
        <w:t xml:space="preserve"> и «Теория вероятностей и математическая статистика»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соответствует традициям математической школы Санкт-Петербурга, у истоков которой стояли такие великие математики как Л. Эйлер, ученик О. Коши В.Я. </w:t>
      </w:r>
      <w:proofErr w:type="spellStart"/>
      <w:r w:rsidRPr="00A2793A">
        <w:rPr>
          <w:rFonts w:ascii="Times New Roman" w:hAnsi="Times New Roman"/>
          <w:color w:val="auto"/>
          <w:sz w:val="28"/>
          <w:szCs w:val="28"/>
        </w:rPr>
        <w:t>Буняковский</w:t>
      </w:r>
      <w:proofErr w:type="spellEnd"/>
      <w:r w:rsidRPr="00A2793A">
        <w:rPr>
          <w:rFonts w:ascii="Times New Roman" w:hAnsi="Times New Roman"/>
          <w:color w:val="auto"/>
          <w:sz w:val="28"/>
          <w:szCs w:val="28"/>
        </w:rPr>
        <w:t>, П.Л. Чебышев, Ю.В. </w:t>
      </w:r>
      <w:proofErr w:type="spellStart"/>
      <w:r w:rsidRPr="00A2793A">
        <w:rPr>
          <w:rFonts w:ascii="Times New Roman" w:hAnsi="Times New Roman"/>
          <w:color w:val="auto"/>
          <w:sz w:val="28"/>
          <w:szCs w:val="28"/>
        </w:rPr>
        <w:t>Линник</w:t>
      </w:r>
      <w:proofErr w:type="spellEnd"/>
      <w:r w:rsidRPr="00A2793A">
        <w:rPr>
          <w:rFonts w:ascii="Times New Roman" w:hAnsi="Times New Roman"/>
          <w:color w:val="auto"/>
          <w:sz w:val="28"/>
          <w:szCs w:val="28"/>
        </w:rPr>
        <w:t xml:space="preserve"> и др. Санкт-Петербургская математическая школа имеет неповторимый колорит, продолжает активно развиваться в различных областях современных математических исследований и занимает достойную нишу в мировой математике. В этой связи важным и неоспоримым преимуществом для НИУ ВШЭ </w:t>
      </w:r>
      <w:r>
        <w:rPr>
          <w:rFonts w:ascii="Times New Roman" w:hAnsi="Times New Roman"/>
          <w:color w:val="auto"/>
          <w:sz w:val="28"/>
          <w:szCs w:val="28"/>
        </w:rPr>
        <w:t>является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наличие аспирантуры по математике именно в Санкт-Петербургском кампусе как залог </w:t>
      </w:r>
      <w:r w:rsidRPr="00A2793A">
        <w:rPr>
          <w:rFonts w:ascii="Times New Roman" w:hAnsi="Times New Roman"/>
          <w:color w:val="auto"/>
          <w:sz w:val="28"/>
          <w:szCs w:val="28"/>
        </w:rPr>
        <w:lastRenderedPageBreak/>
        <w:t>преемственности, культурно-исторической парадигмы и высокой конкурентоспособности на данном научном поле.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723FFE" w:rsidRDefault="00723FFE" w:rsidP="00723FFE">
      <w:pPr>
        <w:pStyle w:val="a6"/>
        <w:ind w:firstLine="567"/>
        <w:rPr>
          <w:rFonts w:eastAsia="Calibri" w:cs="Calibri"/>
          <w:sz w:val="28"/>
          <w:szCs w:val="28"/>
          <w:bdr w:val="nil"/>
          <w:lang w:eastAsia="ru-RU"/>
        </w:rPr>
      </w:pP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В подготовке специалистов </w:t>
      </w:r>
      <w:r w:rsidR="00A61191">
        <w:rPr>
          <w:rFonts w:eastAsia="Calibri" w:cs="Calibri"/>
          <w:sz w:val="28"/>
          <w:szCs w:val="28"/>
          <w:bdr w:val="nil"/>
          <w:lang w:eastAsia="ru-RU"/>
        </w:rPr>
        <w:t>данной образовательной программы в рамках профилей подготовки (направленности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</w:t>
      </w:r>
      <w:r w:rsidR="00A61191">
        <w:rPr>
          <w:rFonts w:eastAsia="Calibri" w:cs="Calibri"/>
          <w:sz w:val="28"/>
          <w:szCs w:val="28"/>
          <w:bdr w:val="nil"/>
          <w:lang w:eastAsia="ru-RU"/>
        </w:rPr>
        <w:t>подготовки)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«Вещественный, комплексный и функциональный анализ» </w:t>
      </w:r>
      <w:r>
        <w:rPr>
          <w:rFonts w:eastAsia="Calibri" w:cs="Calibri"/>
          <w:sz w:val="28"/>
          <w:szCs w:val="28"/>
          <w:bdr w:val="nil"/>
          <w:lang w:eastAsia="ru-RU"/>
        </w:rPr>
        <w:t xml:space="preserve">и «Теория вероятностей и математическая статистика» 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>по направлению 01.06.01 Математика и механика в НИУ ВШЭ 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noBreakHyphen/>
        <w:t> Санкт-Петербург принима</w:t>
      </w:r>
      <w:r w:rsidR="00A61191">
        <w:rPr>
          <w:rFonts w:eastAsia="Calibri" w:cs="Calibri"/>
          <w:sz w:val="28"/>
          <w:szCs w:val="28"/>
          <w:bdr w:val="nil"/>
          <w:lang w:eastAsia="ru-RU"/>
        </w:rPr>
        <w:t>ют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участие профессор</w:t>
      </w:r>
      <w:r>
        <w:rPr>
          <w:rFonts w:eastAsia="Calibri" w:cs="Calibri"/>
          <w:sz w:val="28"/>
          <w:szCs w:val="28"/>
          <w:bdr w:val="nil"/>
          <w:lang w:eastAsia="ru-RU"/>
        </w:rPr>
        <w:t>а и доценты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департамента математики НИУ ВШЭ – Санкт-Петербург, </w:t>
      </w:r>
      <w:r>
        <w:rPr>
          <w:rFonts w:eastAsia="Calibri" w:cs="Calibri"/>
          <w:sz w:val="28"/>
          <w:szCs w:val="28"/>
          <w:bdr w:val="nil"/>
          <w:lang w:eastAsia="ru-RU"/>
        </w:rPr>
        <w:t xml:space="preserve">приглашенные 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>научны</w:t>
      </w:r>
      <w:r>
        <w:rPr>
          <w:rFonts w:eastAsia="Calibri" w:cs="Calibri"/>
          <w:sz w:val="28"/>
          <w:szCs w:val="28"/>
          <w:bdr w:val="nil"/>
          <w:lang w:eastAsia="ru-RU"/>
        </w:rPr>
        <w:t>е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сотрудник</w:t>
      </w:r>
      <w:r>
        <w:rPr>
          <w:rFonts w:eastAsia="Calibri" w:cs="Calibri"/>
          <w:sz w:val="28"/>
          <w:szCs w:val="28"/>
          <w:bdr w:val="nil"/>
          <w:lang w:eastAsia="ru-RU"/>
        </w:rPr>
        <w:t>и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международной лабораторией теории игр и принятия решений </w:t>
      </w:r>
      <w:r>
        <w:rPr>
          <w:rFonts w:eastAsia="Calibri" w:cs="Calibri"/>
          <w:sz w:val="28"/>
          <w:szCs w:val="28"/>
          <w:bdr w:val="nil"/>
          <w:lang w:eastAsia="ru-RU"/>
        </w:rPr>
        <w:t xml:space="preserve">и 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ПОМИ РАН имени В.А. Стеклова. Все </w:t>
      </w:r>
      <w:r>
        <w:rPr>
          <w:rFonts w:eastAsia="Calibri" w:cs="Calibri"/>
          <w:sz w:val="28"/>
          <w:szCs w:val="28"/>
          <w:bdr w:val="nil"/>
          <w:lang w:eastAsia="ru-RU"/>
        </w:rPr>
        <w:t>сотрудники, привлекаемые на образовательную программы, а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>ктивно публикуются в высокорейтинговых журналах соответствующих направлений математики и имеют заметные научные зарубежные контакты.</w:t>
      </w:r>
    </w:p>
    <w:p w:rsidR="00723FFE" w:rsidRPr="00723FFE" w:rsidRDefault="00723FFE" w:rsidP="00723FFE">
      <w:pPr>
        <w:pStyle w:val="a6"/>
        <w:ind w:firstLine="567"/>
        <w:rPr>
          <w:rFonts w:eastAsia="Calibri" w:cs="Calibri"/>
          <w:sz w:val="28"/>
          <w:szCs w:val="28"/>
          <w:bdr w:val="nil"/>
          <w:lang w:eastAsia="ru-RU"/>
        </w:rPr>
      </w:pPr>
      <w:r w:rsidRPr="006379E9">
        <w:rPr>
          <w:sz w:val="28"/>
          <w:szCs w:val="28"/>
        </w:rPr>
        <w:t>Научное руководство аспирантами и реализация ОП обеспечивается научно-педагогическими работниками НИУ ВШЭ, имеющими ученую степень кандидата или доктора наук, осуществляющими научно-исследовательскую деятельность</w:t>
      </w:r>
      <w:r>
        <w:rPr>
          <w:sz w:val="28"/>
          <w:szCs w:val="28"/>
        </w:rPr>
        <w:t>.</w:t>
      </w:r>
    </w:p>
    <w:p w:rsidR="00723FFE" w:rsidRPr="00723FFE" w:rsidRDefault="00723FFE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23FFE">
        <w:rPr>
          <w:rFonts w:ascii="Times New Roman" w:hAnsi="Times New Roman"/>
          <w:color w:val="auto"/>
          <w:sz w:val="28"/>
          <w:szCs w:val="28"/>
        </w:rPr>
        <w:t>НИУ ВШЭ </w:t>
      </w:r>
      <w:r w:rsidRPr="00723FFE">
        <w:rPr>
          <w:rFonts w:ascii="Times New Roman" w:hAnsi="Times New Roman"/>
          <w:color w:val="auto"/>
          <w:sz w:val="28"/>
          <w:szCs w:val="28"/>
        </w:rPr>
        <w:noBreakHyphen/>
        <w:t> Санкт-Петербург имеет необходимую информационную базу с отлично развитой инфраструктурой для образовательной и исследовательской деятельности. В университете обеспечен открытый доступ студентов, аспирантов и сотрудников к полнотекстовым электронным ресурсам в рамках подписки НИУ ВШЭ, включающих большинство отечественных и зарубежных журналов по широкому спектру направлений математики и ее приложений. Это позвол</w:t>
      </w:r>
      <w:r w:rsidR="00A61191">
        <w:rPr>
          <w:rFonts w:ascii="Times New Roman" w:hAnsi="Times New Roman"/>
          <w:color w:val="auto"/>
          <w:sz w:val="28"/>
          <w:szCs w:val="28"/>
        </w:rPr>
        <w:t>яет</w:t>
      </w:r>
      <w:r w:rsidRPr="00723FFE">
        <w:rPr>
          <w:rFonts w:ascii="Times New Roman" w:hAnsi="Times New Roman"/>
          <w:color w:val="auto"/>
          <w:sz w:val="28"/>
          <w:szCs w:val="28"/>
        </w:rPr>
        <w:t xml:space="preserve"> аспирантам непрерывно находиться в курсе новинок исследований по их направлению, сотрудничать с коллегами в России и зарубежными научными школами, привлекать в НИУ ВШЭ </w:t>
      </w:r>
      <w:r w:rsidRPr="00723FFE">
        <w:rPr>
          <w:rFonts w:ascii="Times New Roman" w:hAnsi="Times New Roman"/>
          <w:color w:val="auto"/>
          <w:sz w:val="28"/>
          <w:szCs w:val="28"/>
        </w:rPr>
        <w:noBreakHyphen/>
        <w:t> Санкт-Петербург заинтересованных молодых исследователей в качестве будущих аспирантов.</w:t>
      </w:r>
    </w:p>
    <w:p w:rsidR="006379E9" w:rsidRPr="006379E9" w:rsidRDefault="006379E9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Выпускники </w:t>
      </w:r>
      <w:r w:rsidR="00A61191">
        <w:rPr>
          <w:rFonts w:ascii="Times New Roman" w:hAnsi="Times New Roman"/>
          <w:color w:val="auto"/>
          <w:sz w:val="28"/>
          <w:szCs w:val="28"/>
        </w:rPr>
        <w:t xml:space="preserve">образовательной </w:t>
      </w:r>
      <w:r w:rsidRPr="00B35F2E">
        <w:rPr>
          <w:rFonts w:ascii="Times New Roman" w:hAnsi="Times New Roman"/>
          <w:color w:val="auto"/>
          <w:sz w:val="28"/>
          <w:szCs w:val="28"/>
        </w:rPr>
        <w:t>программы «</w:t>
      </w:r>
      <w:r w:rsidR="0043060C">
        <w:rPr>
          <w:rFonts w:ascii="Times New Roman" w:hAnsi="Times New Roman"/>
          <w:color w:val="auto"/>
          <w:sz w:val="28"/>
          <w:szCs w:val="28"/>
        </w:rPr>
        <w:t>Математика и механика</w:t>
      </w:r>
      <w:r w:rsidRPr="00B35F2E">
        <w:rPr>
          <w:rFonts w:ascii="Times New Roman" w:hAnsi="Times New Roman"/>
          <w:color w:val="auto"/>
          <w:sz w:val="28"/>
          <w:szCs w:val="28"/>
        </w:rPr>
        <w:t>» смогут решать задачи в следующих видах профессиональной деятельности:</w:t>
      </w:r>
    </w:p>
    <w:p w:rsidR="0043060C" w:rsidRPr="0043060C" w:rsidRDefault="0043060C" w:rsidP="0043060C">
      <w:pPr>
        <w:pStyle w:val="Default"/>
        <w:spacing w:line="259" w:lineRule="auto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1) Научно-исследовательская деятельность в области фундаментальной и прикладной математики (НИД): </w:t>
      </w:r>
    </w:p>
    <w:p w:rsidR="0043060C" w:rsidRPr="0043060C" w:rsidRDefault="0043060C" w:rsidP="0043060C">
      <w:pPr>
        <w:pStyle w:val="Default"/>
        <w:numPr>
          <w:ilvl w:val="0"/>
          <w:numId w:val="20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исследования в области фундаментальной математики, в том числе исследования по </w:t>
      </w:r>
      <w:r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вещественному, комплексному и функциональному анализу, </w:t>
      </w: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теории вероятностей и математической статистике; </w:t>
      </w:r>
    </w:p>
    <w:p w:rsidR="0043060C" w:rsidRPr="0043060C" w:rsidRDefault="0043060C" w:rsidP="0043060C">
      <w:pPr>
        <w:pStyle w:val="Default"/>
        <w:numPr>
          <w:ilvl w:val="0"/>
          <w:numId w:val="20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построение и исследование математических моделей, наилучшим образом отражающих существенные особенности случайных данных, а </w:t>
      </w: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lastRenderedPageBreak/>
        <w:t xml:space="preserve">также владение методами сбора, систематизации и обработки случайных данных; </w:t>
      </w:r>
    </w:p>
    <w:p w:rsidR="0043060C" w:rsidRPr="0043060C" w:rsidRDefault="0043060C" w:rsidP="0043060C">
      <w:pPr>
        <w:pStyle w:val="Default"/>
        <w:numPr>
          <w:ilvl w:val="0"/>
          <w:numId w:val="20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исследование универсальных математических закономерностей, лежащих в основе моделей случайных явлений, и приложение этих закономерностей к изучению свойств конкретных вероятностных моделей; </w:t>
      </w:r>
    </w:p>
    <w:p w:rsidR="0043060C" w:rsidRPr="0043060C" w:rsidRDefault="0043060C" w:rsidP="0043060C">
      <w:pPr>
        <w:pStyle w:val="Default"/>
        <w:numPr>
          <w:ilvl w:val="0"/>
          <w:numId w:val="20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публикация результатов исследований в ведущих международных журналах по специальностям математического и физико-математического профиля; </w:t>
      </w:r>
    </w:p>
    <w:p w:rsidR="0043060C" w:rsidRPr="0043060C" w:rsidRDefault="0043060C" w:rsidP="0043060C">
      <w:pPr>
        <w:pStyle w:val="Default"/>
        <w:spacing w:line="259" w:lineRule="auto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>2) Преподавательская деятельность в области математики (</w:t>
      </w:r>
      <w:proofErr w:type="spellStart"/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>НИД_Пед</w:t>
      </w:r>
      <w:proofErr w:type="spellEnd"/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): </w:t>
      </w:r>
    </w:p>
    <w:p w:rsidR="0043060C" w:rsidRPr="0043060C" w:rsidRDefault="0043060C" w:rsidP="0043060C">
      <w:pPr>
        <w:pStyle w:val="Default"/>
        <w:numPr>
          <w:ilvl w:val="0"/>
          <w:numId w:val="21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разработка учебных курсов по математике, в том числе на основе результатов проведенных теоретических и экспериментальных исследований, включая подготовку методических материалов, учебных пособий и учебников; </w:t>
      </w:r>
    </w:p>
    <w:p w:rsidR="0043060C" w:rsidRPr="0043060C" w:rsidRDefault="0043060C" w:rsidP="0043060C">
      <w:pPr>
        <w:pStyle w:val="Default"/>
        <w:numPr>
          <w:ilvl w:val="0"/>
          <w:numId w:val="21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преподавание математических дисциплин и учебно-методическая работа в области фундаментальной и прикладной математики; </w:t>
      </w:r>
    </w:p>
    <w:p w:rsidR="0043060C" w:rsidRDefault="0043060C" w:rsidP="0043060C">
      <w:pPr>
        <w:pStyle w:val="Default"/>
        <w:numPr>
          <w:ilvl w:val="0"/>
          <w:numId w:val="21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43060C" w:rsidRPr="0043060C" w:rsidRDefault="0043060C" w:rsidP="0043060C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3060C">
        <w:rPr>
          <w:rFonts w:ascii="Times New Roman" w:hAnsi="Times New Roman"/>
          <w:color w:val="auto"/>
          <w:sz w:val="28"/>
          <w:szCs w:val="28"/>
        </w:rPr>
        <w:t xml:space="preserve">Область профессиональной деятельности выпускников может включать в научно-производственной сфере </w:t>
      </w:r>
      <w:r w:rsidRPr="0043060C">
        <w:rPr>
          <w:rFonts w:ascii="Times New Roman" w:hAnsi="Times New Roman"/>
          <w:color w:val="auto"/>
          <w:sz w:val="28"/>
          <w:szCs w:val="28"/>
        </w:rPr>
        <w:noBreakHyphen/>
        <w:t xml:space="preserve">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строительства, научно-исследовательские и аналитические центры разного профиля; в социально-экономической сфере </w:t>
      </w:r>
      <w:r w:rsidRPr="0043060C">
        <w:rPr>
          <w:rFonts w:ascii="Times New Roman" w:hAnsi="Times New Roman"/>
          <w:color w:val="auto"/>
          <w:sz w:val="28"/>
          <w:szCs w:val="28"/>
        </w:rPr>
        <w:noBreakHyphen/>
        <w:t xml:space="preserve"> фонды, страховые и управляющие компании, финансовые организации и бизнес-структуры, а также образовательные организации высшего образования. </w:t>
      </w:r>
    </w:p>
    <w:p w:rsidR="0043060C" w:rsidRPr="0043060C" w:rsidRDefault="0043060C" w:rsidP="0043060C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3060C">
        <w:rPr>
          <w:rFonts w:ascii="Times New Roman" w:hAnsi="Times New Roman"/>
          <w:color w:val="auto"/>
          <w:sz w:val="28"/>
          <w:szCs w:val="28"/>
        </w:rPr>
        <w:t>Основными работодателями для выпускников данной образовательной программы выступают:</w:t>
      </w:r>
    </w:p>
    <w:p w:rsidR="0043060C" w:rsidRPr="0043060C" w:rsidRDefault="0043060C" w:rsidP="0043060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993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43060C">
        <w:rPr>
          <w:rFonts w:ascii="Times New Roman" w:hAnsi="Times New Roman"/>
          <w:color w:val="auto"/>
          <w:sz w:val="28"/>
          <w:szCs w:val="28"/>
        </w:rPr>
        <w:t xml:space="preserve"> Научно-исследовательские организации и научно-производственные организации, исследовательские центры российских и зарубежных университетов, занимающихся исследованиями в области математики и ее приложений.</w:t>
      </w:r>
    </w:p>
    <w:p w:rsidR="0043060C" w:rsidRPr="0043060C" w:rsidRDefault="0043060C" w:rsidP="0043060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993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43060C">
        <w:rPr>
          <w:rFonts w:ascii="Times New Roman" w:hAnsi="Times New Roman"/>
          <w:color w:val="auto"/>
          <w:sz w:val="28"/>
          <w:szCs w:val="28"/>
        </w:rPr>
        <w:t>Российские и зарубежные университеты, которым необходимы компетентные и высококвалифицированные преподаватели в области математики.</w:t>
      </w:r>
    </w:p>
    <w:p w:rsidR="0043060C" w:rsidRPr="0043060C" w:rsidRDefault="0043060C" w:rsidP="0043060C">
      <w:pPr>
        <w:pStyle w:val="Default"/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color w:val="auto"/>
          <w:sz w:val="28"/>
          <w:szCs w:val="28"/>
        </w:rPr>
        <w:t xml:space="preserve">Наиболее логичной траекторией развития карьеры выпускника аспирантуры является защита кандидатской диссертации в России или </w:t>
      </w:r>
      <w:proofErr w:type="spellStart"/>
      <w:r w:rsidRPr="0043060C">
        <w:rPr>
          <w:color w:val="auto"/>
          <w:sz w:val="28"/>
          <w:szCs w:val="28"/>
        </w:rPr>
        <w:t>PhD</w:t>
      </w:r>
      <w:proofErr w:type="spellEnd"/>
      <w:r w:rsidRPr="0043060C">
        <w:rPr>
          <w:color w:val="auto"/>
          <w:sz w:val="28"/>
          <w:szCs w:val="28"/>
        </w:rPr>
        <w:t xml:space="preserve"> за рубежом.</w:t>
      </w:r>
    </w:p>
    <w:sectPr w:rsidR="0043060C" w:rsidRPr="0043060C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690"/>
    <w:multiLevelType w:val="hybridMultilevel"/>
    <w:tmpl w:val="EB20D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7B39DB"/>
    <w:multiLevelType w:val="hybridMultilevel"/>
    <w:tmpl w:val="DE863608"/>
    <w:numStyleLink w:val="8"/>
  </w:abstractNum>
  <w:abstractNum w:abstractNumId="3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7A00240"/>
    <w:multiLevelType w:val="multilevel"/>
    <w:tmpl w:val="F14A4D38"/>
    <w:lvl w:ilvl="0">
      <w:start w:val="1"/>
      <w:numFmt w:val="decimalZero"/>
      <w:lvlText w:val="%1"/>
      <w:lvlJc w:val="left"/>
      <w:pPr>
        <w:ind w:left="980" w:hanging="980"/>
      </w:pPr>
      <w:rPr>
        <w:rFonts w:eastAsia="Calibri" w:cs="Calibri" w:hint="default"/>
      </w:rPr>
    </w:lvl>
    <w:lvl w:ilvl="1">
      <w:start w:val="1"/>
      <w:numFmt w:val="decimalZero"/>
      <w:lvlText w:val="%1.%2"/>
      <w:lvlJc w:val="left"/>
      <w:pPr>
        <w:ind w:left="1788" w:hanging="980"/>
      </w:pPr>
      <w:rPr>
        <w:rFonts w:eastAsia="Calibri" w:cs="Calibri" w:hint="default"/>
      </w:rPr>
    </w:lvl>
    <w:lvl w:ilvl="2">
      <w:start w:val="1"/>
      <w:numFmt w:val="decimalZero"/>
      <w:lvlText w:val="%1.%2.%3"/>
      <w:lvlJc w:val="left"/>
      <w:pPr>
        <w:ind w:left="2596" w:hanging="98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624" w:hanging="2160"/>
      </w:pPr>
      <w:rPr>
        <w:rFonts w:eastAsia="Calibri" w:cs="Calibri" w:hint="default"/>
      </w:rPr>
    </w:lvl>
  </w:abstractNum>
  <w:abstractNum w:abstractNumId="5">
    <w:nsid w:val="1EE73E7E"/>
    <w:multiLevelType w:val="hybridMultilevel"/>
    <w:tmpl w:val="47923658"/>
    <w:lvl w:ilvl="0" w:tplc="BCA0BB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70CD"/>
    <w:multiLevelType w:val="hybridMultilevel"/>
    <w:tmpl w:val="5406CCF8"/>
    <w:numStyleLink w:val="5"/>
  </w:abstractNum>
  <w:abstractNum w:abstractNumId="7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E0772B"/>
    <w:multiLevelType w:val="hybridMultilevel"/>
    <w:tmpl w:val="08A269DA"/>
    <w:lvl w:ilvl="0" w:tplc="0E16CA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225162"/>
    <w:multiLevelType w:val="hybridMultilevel"/>
    <w:tmpl w:val="A9FA5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15F9"/>
    <w:multiLevelType w:val="hybridMultilevel"/>
    <w:tmpl w:val="BBDA2C94"/>
    <w:numStyleLink w:val="7"/>
  </w:abstractNum>
  <w:abstractNum w:abstractNumId="11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9D6037"/>
    <w:multiLevelType w:val="hybridMultilevel"/>
    <w:tmpl w:val="018462CA"/>
    <w:numStyleLink w:val="6"/>
  </w:abstractNum>
  <w:abstractNum w:abstractNumId="13">
    <w:nsid w:val="58BB416E"/>
    <w:multiLevelType w:val="multilevel"/>
    <w:tmpl w:val="98A0CD06"/>
    <w:lvl w:ilvl="0">
      <w:start w:val="1"/>
      <w:numFmt w:val="decimalZero"/>
      <w:lvlText w:val="%1."/>
      <w:lvlJc w:val="left"/>
      <w:pPr>
        <w:ind w:left="1050" w:hanging="1050"/>
      </w:pPr>
      <w:rPr>
        <w:rFonts w:eastAsia="Calibri" w:cs="Calibri" w:hint="default"/>
      </w:rPr>
    </w:lvl>
    <w:lvl w:ilvl="1">
      <w:start w:val="1"/>
      <w:numFmt w:val="decimalZero"/>
      <w:lvlText w:val="%1.%2."/>
      <w:lvlJc w:val="left"/>
      <w:pPr>
        <w:ind w:left="1333" w:hanging="1050"/>
      </w:pPr>
      <w:rPr>
        <w:rFonts w:eastAsia="Calibri" w:cs="Calibri" w:hint="default"/>
      </w:rPr>
    </w:lvl>
    <w:lvl w:ilvl="2">
      <w:start w:val="1"/>
      <w:numFmt w:val="decimalZero"/>
      <w:lvlText w:val="%1.%2.%3."/>
      <w:lvlJc w:val="left"/>
      <w:pPr>
        <w:ind w:left="1616" w:hanging="105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Calibri" w:cs="Calibri" w:hint="default"/>
      </w:rPr>
    </w:lvl>
  </w:abstractNum>
  <w:abstractNum w:abstractNumId="14">
    <w:nsid w:val="711C0836"/>
    <w:multiLevelType w:val="hybridMultilevel"/>
    <w:tmpl w:val="3B0ED864"/>
    <w:lvl w:ilvl="0" w:tplc="0E16CA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41B403E6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  <w:sz w:val="28"/>
        <w:szCs w:val="24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444368A"/>
    <w:multiLevelType w:val="hybridMultilevel"/>
    <w:tmpl w:val="36D4BFA2"/>
    <w:lvl w:ilvl="0" w:tplc="BCA0BB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75B24"/>
    <w:multiLevelType w:val="hybridMultilevel"/>
    <w:tmpl w:val="E49E441C"/>
    <w:lvl w:ilvl="0" w:tplc="A9886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0"/>
    <w:lvlOverride w:ilvl="0">
      <w:lvl w:ilvl="0" w:tplc="7B10B54C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E678C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7633E8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0BF04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8E2FA4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485F0C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0E04BC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9CC922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F067F4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 w:tplc="7B10B54C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E4E678C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A7633E8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450BF04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E8E2FA4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F485F0C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F0E04BC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09CC922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0F067F4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11"/>
  </w:num>
  <w:num w:numId="11">
    <w:abstractNumId w:val="2"/>
  </w:num>
  <w:num w:numId="12">
    <w:abstractNumId w:val="2"/>
    <w:lvlOverride w:ilvl="0">
      <w:lvl w:ilvl="0" w:tplc="7C9042DA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B0E146C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AD2F4A4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682E7C2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68E3018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26E4074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AC8AE7C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AB20776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0A83C8A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13"/>
  </w:num>
  <w:num w:numId="14">
    <w:abstractNumId w:val="4"/>
  </w:num>
  <w:num w:numId="15">
    <w:abstractNumId w:val="16"/>
  </w:num>
  <w:num w:numId="16">
    <w:abstractNumId w:val="8"/>
  </w:num>
  <w:num w:numId="17">
    <w:abstractNumId w:val="9"/>
  </w:num>
  <w:num w:numId="18">
    <w:abstractNumId w:val="14"/>
  </w:num>
  <w:num w:numId="19">
    <w:abstractNumId w:val="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E"/>
    <w:rsid w:val="00153E52"/>
    <w:rsid w:val="0043060C"/>
    <w:rsid w:val="004912DC"/>
    <w:rsid w:val="006020E4"/>
    <w:rsid w:val="0060750B"/>
    <w:rsid w:val="006379E9"/>
    <w:rsid w:val="00723FFE"/>
    <w:rsid w:val="00766529"/>
    <w:rsid w:val="008B0181"/>
    <w:rsid w:val="00924C3E"/>
    <w:rsid w:val="00946554"/>
    <w:rsid w:val="00990BCC"/>
    <w:rsid w:val="009A51D2"/>
    <w:rsid w:val="00A159C1"/>
    <w:rsid w:val="00A2793A"/>
    <w:rsid w:val="00A61191"/>
    <w:rsid w:val="00A8777B"/>
    <w:rsid w:val="00B35F2E"/>
    <w:rsid w:val="00C9572F"/>
    <w:rsid w:val="00F72E0D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53E52"/>
    <w:rPr>
      <w:b/>
      <w:bCs/>
    </w:rPr>
  </w:style>
  <w:style w:type="character" w:customStyle="1" w:styleId="WW8Num5z0">
    <w:name w:val="WW8Num5z0"/>
    <w:rsid w:val="00C9572F"/>
    <w:rPr>
      <w:rFonts w:ascii="Symbol" w:hAnsi="Symbol"/>
    </w:rPr>
  </w:style>
  <w:style w:type="paragraph" w:styleId="a6">
    <w:name w:val="Body Text"/>
    <w:basedOn w:val="a"/>
    <w:link w:val="a7"/>
    <w:rsid w:val="00C95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a7">
    <w:name w:val="Основной текст Знак"/>
    <w:basedOn w:val="a0"/>
    <w:link w:val="a6"/>
    <w:rsid w:val="00C95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30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53E52"/>
    <w:rPr>
      <w:b/>
      <w:bCs/>
    </w:rPr>
  </w:style>
  <w:style w:type="character" w:customStyle="1" w:styleId="WW8Num5z0">
    <w:name w:val="WW8Num5z0"/>
    <w:rsid w:val="00C9572F"/>
    <w:rPr>
      <w:rFonts w:ascii="Symbol" w:hAnsi="Symbol"/>
    </w:rPr>
  </w:style>
  <w:style w:type="paragraph" w:styleId="a6">
    <w:name w:val="Body Text"/>
    <w:basedOn w:val="a"/>
    <w:link w:val="a7"/>
    <w:rsid w:val="00C95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a7">
    <w:name w:val="Основной текст Знак"/>
    <w:basedOn w:val="a0"/>
    <w:link w:val="a6"/>
    <w:rsid w:val="00C95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30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6AC4-62EB-476B-8B53-02130CF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Антон Толкачев</cp:lastModifiedBy>
  <cp:revision>4</cp:revision>
  <dcterms:created xsi:type="dcterms:W3CDTF">2019-11-27T07:52:00Z</dcterms:created>
  <dcterms:modified xsi:type="dcterms:W3CDTF">2021-11-02T12:54:00Z</dcterms:modified>
</cp:coreProperties>
</file>