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72908" w:rsidTr="00572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572908" w:rsidRDefault="00572908">
            <w:r>
              <w:t>Регистрационный номер: 6.18.1-01/0110-03</w:t>
            </w:r>
          </w:p>
        </w:tc>
      </w:tr>
      <w:tr w:rsidR="00572908" w:rsidTr="00572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572908" w:rsidRDefault="00572908">
            <w:r>
              <w:t>Дата регистрации: 01.10.2020</w:t>
            </w:r>
          </w:p>
        </w:tc>
      </w:tr>
    </w:tbl>
    <w:p w:rsidR="001F009B" w:rsidRDefault="0057290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AB8" w:rsidRDefault="008C2AB8" w:rsidP="00FE678B">
      <w:pPr>
        <w:ind w:left="284" w:right="-143"/>
      </w:pPr>
    </w:p>
    <w:p w:rsidR="008C2AB8" w:rsidRDefault="008C2AB8" w:rsidP="00FE678B">
      <w:pPr>
        <w:ind w:left="284" w:right="-143"/>
      </w:pPr>
    </w:p>
    <w:p w:rsidR="008C2AB8" w:rsidRPr="00FE678B" w:rsidRDefault="008C2AB8" w:rsidP="00FE678B">
      <w:pPr>
        <w:ind w:left="284" w:right="-143"/>
        <w:rPr>
          <w:lang w:val="en-US"/>
        </w:rPr>
      </w:pPr>
    </w:p>
    <w:p w:rsidR="008C2AB8" w:rsidRDefault="008C2AB8" w:rsidP="00FE678B">
      <w:pPr>
        <w:ind w:left="284" w:right="-143"/>
        <w:jc w:val="both"/>
        <w:rPr>
          <w:b/>
          <w:sz w:val="26"/>
          <w:szCs w:val="26"/>
        </w:rPr>
      </w:pPr>
    </w:p>
    <w:p w:rsidR="008C2AB8" w:rsidRDefault="00572908" w:rsidP="00572908">
      <w:pPr>
        <w:ind w:left="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8C2AB8" w:rsidRDefault="008C2AB8" w:rsidP="00FE678B">
      <w:pPr>
        <w:ind w:left="284" w:right="-143"/>
        <w:jc w:val="both"/>
        <w:rPr>
          <w:b/>
          <w:sz w:val="26"/>
          <w:szCs w:val="26"/>
        </w:rPr>
      </w:pPr>
    </w:p>
    <w:p w:rsidR="00FE678B" w:rsidRDefault="00FE678B" w:rsidP="00FE678B">
      <w:pPr>
        <w:ind w:left="284" w:right="-143"/>
        <w:jc w:val="both"/>
        <w:rPr>
          <w:b/>
          <w:sz w:val="26"/>
          <w:szCs w:val="26"/>
          <w:lang w:val="en-US"/>
        </w:rPr>
      </w:pPr>
      <w:bookmarkStart w:id="0" w:name="_GoBack"/>
      <w:bookmarkEnd w:id="0"/>
    </w:p>
    <w:p w:rsidR="00FE678B" w:rsidRDefault="00FE678B" w:rsidP="00FE678B">
      <w:pPr>
        <w:ind w:left="284" w:right="-143"/>
        <w:jc w:val="both"/>
        <w:rPr>
          <w:b/>
          <w:sz w:val="26"/>
          <w:szCs w:val="26"/>
          <w:lang w:val="en-US"/>
        </w:rPr>
      </w:pPr>
    </w:p>
    <w:p w:rsidR="00FE678B" w:rsidRPr="00FE678B" w:rsidRDefault="00FE678B" w:rsidP="00FE678B">
      <w:pPr>
        <w:ind w:left="284" w:right="-143"/>
        <w:jc w:val="both"/>
        <w:rPr>
          <w:b/>
          <w:sz w:val="26"/>
          <w:szCs w:val="26"/>
          <w:lang w:val="en-US"/>
        </w:rPr>
      </w:pPr>
    </w:p>
    <w:p w:rsidR="008C2AB8" w:rsidRPr="00C97DD6" w:rsidRDefault="00BA4A83" w:rsidP="00FE678B">
      <w:pPr>
        <w:ind w:left="284"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образованием» факультета Санкт-Петербургская школа с</w:t>
      </w:r>
      <w:r w:rsidR="00C97DD6">
        <w:rPr>
          <w:b/>
          <w:sz w:val="26"/>
          <w:szCs w:val="26"/>
        </w:rPr>
        <w:t>оциальных наук и востоковедения</w:t>
      </w:r>
    </w:p>
    <w:p w:rsidR="008C2AB8" w:rsidRDefault="008C2AB8" w:rsidP="00FE678B">
      <w:pPr>
        <w:ind w:left="284" w:right="-143"/>
        <w:rPr>
          <w:sz w:val="26"/>
          <w:szCs w:val="26"/>
        </w:rPr>
      </w:pPr>
    </w:p>
    <w:p w:rsidR="008C2AB8" w:rsidRDefault="008C2AB8" w:rsidP="00FE678B">
      <w:pPr>
        <w:ind w:left="284" w:right="-143"/>
        <w:rPr>
          <w:sz w:val="26"/>
          <w:szCs w:val="26"/>
        </w:rPr>
      </w:pPr>
    </w:p>
    <w:p w:rsidR="008C2AB8" w:rsidRDefault="00BA4A83" w:rsidP="00FE678B">
      <w:pPr>
        <w:ind w:left="284" w:right="-143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C2AB8" w:rsidRDefault="008C2AB8" w:rsidP="00FE678B">
      <w:pPr>
        <w:ind w:left="284" w:right="-143" w:hanging="360"/>
        <w:jc w:val="both"/>
        <w:rPr>
          <w:sz w:val="26"/>
          <w:szCs w:val="26"/>
        </w:rPr>
      </w:pPr>
    </w:p>
    <w:p w:rsidR="008C2AB8" w:rsidRDefault="00BA4A83" w:rsidP="00FE678B">
      <w:pPr>
        <w:ind w:left="284" w:right="-143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(включая защиту выпускных квалификационных работ) студентов 3 курса образовательной программы магистратуры «Управление образованием», направления подготовки 38.04.04 «Государственное и муниципальное управление», факультета Санкт-Петербургская школа социальных наук и востоковедения, очно-заочной формы обучения в составе</w:t>
      </w:r>
    </w:p>
    <w:p w:rsidR="008C2AB8" w:rsidRDefault="008C2AB8" w:rsidP="00FE678B">
      <w:pPr>
        <w:ind w:left="284" w:right="-143"/>
        <w:rPr>
          <w:sz w:val="26"/>
          <w:szCs w:val="26"/>
        </w:rPr>
      </w:pPr>
    </w:p>
    <w:tbl>
      <w:tblPr>
        <w:tblStyle w:val="ac"/>
        <w:tblW w:w="9747" w:type="dxa"/>
        <w:tblInd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365"/>
        <w:gridCol w:w="2268"/>
      </w:tblGrid>
      <w:tr w:rsidR="008C2AB8" w:rsidTr="00FE678B"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BA4A83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BA4A83" w:rsidP="00FE678B">
            <w:pPr>
              <w:ind w:left="284" w:right="-143"/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доктор педагогических наук, профессор, член-корреспондент Федерального государственного бюджетного учреждения «Российская академия образования», профессор кафедры педагогики Федерального государственного бюджетного образовательного учреждения высшего образования «Санкт-Петербургский государственный университет»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BA4A83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Е.И.</w:t>
            </w:r>
          </w:p>
        </w:tc>
      </w:tr>
      <w:tr w:rsidR="00805B9F" w:rsidTr="00FE678B">
        <w:trPr>
          <w:trHeight w:val="1500"/>
        </w:trPr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678B" w:rsidRDefault="00FE678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3812A2" w:rsidRDefault="003812A2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FE678B" w:rsidRDefault="00FE678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805B9F" w:rsidRDefault="00FE678B" w:rsidP="00FE678B">
            <w:pPr>
              <w:ind w:left="284" w:right="-143"/>
              <w:rPr>
                <w:sz w:val="26"/>
                <w:szCs w:val="26"/>
              </w:rPr>
            </w:pPr>
            <w:r w:rsidRPr="00FE678B">
              <w:rPr>
                <w:sz w:val="26"/>
                <w:szCs w:val="26"/>
              </w:rPr>
              <w:t>Члены ГЭК</w:t>
            </w:r>
          </w:p>
        </w:tc>
        <w:tc>
          <w:tcPr>
            <w:tcW w:w="436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right="-143"/>
              <w:rPr>
                <w:sz w:val="26"/>
                <w:szCs w:val="26"/>
              </w:rPr>
            </w:pPr>
          </w:p>
          <w:p w:rsidR="00FE678B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3812A2" w:rsidRPr="00A22502" w:rsidRDefault="003812A2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Default="00FE678B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философских наук, доцент департамента государственного администрирования факультета Санкт-Петербургская школа </w:t>
            </w:r>
            <w:r>
              <w:rPr>
                <w:sz w:val="26"/>
                <w:szCs w:val="26"/>
              </w:rPr>
              <w:lastRenderedPageBreak/>
              <w:t>социальных наук и востоковедения</w:t>
            </w:r>
          </w:p>
        </w:tc>
        <w:tc>
          <w:tcPr>
            <w:tcW w:w="2268" w:type="dxa"/>
            <w:vMerge w:val="restart"/>
            <w:tcBorders>
              <w:lef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Pr="00A22502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3812A2" w:rsidRPr="00A22502" w:rsidRDefault="003812A2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Pr="00FE678B" w:rsidRDefault="00FE678B" w:rsidP="002B6D58">
            <w:pPr>
              <w:ind w:left="318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Баронене С.Г.</w:t>
            </w:r>
          </w:p>
        </w:tc>
      </w:tr>
      <w:tr w:rsidR="00805B9F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C97DD6" w:rsidRDefault="00BA5E7B" w:rsidP="003812A2">
            <w:pPr>
              <w:ind w:right="-143"/>
              <w:rPr>
                <w:sz w:val="26"/>
                <w:szCs w:val="26"/>
              </w:rPr>
            </w:pPr>
          </w:p>
          <w:p w:rsidR="008C2AB8" w:rsidRPr="00BA5E7B" w:rsidRDefault="00A22502" w:rsidP="00BA5E7B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Винокуров М.В.</w:t>
            </w: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FE678B" w:rsidRDefault="00FE678B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педагогических наук, профессор департамента государственного администрирования,</w:t>
            </w:r>
            <w:r w:rsidRPr="00805B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академический руководитель магистерской программы «Управление образованием» факультета Санкт-Петербургская школа социальных наук и востоковедения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FE678B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Н.А.</w:t>
            </w:r>
            <w:r w:rsidRPr="00FE678B">
              <w:rPr>
                <w:sz w:val="26"/>
                <w:szCs w:val="26"/>
              </w:rPr>
              <w:t xml:space="preserve"> </w:t>
            </w: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педагогических наук, профессор, доцент кафедры педагогики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C97DD6" w:rsidRDefault="008C2AB8" w:rsidP="00A22502">
            <w:pPr>
              <w:ind w:right="-143"/>
              <w:rPr>
                <w:sz w:val="26"/>
                <w:szCs w:val="26"/>
              </w:rPr>
            </w:pPr>
          </w:p>
          <w:p w:rsidR="00FE678B" w:rsidRPr="00C97DD6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C97DD6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C97DD6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C97DD6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C97DD6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BA5E7B" w:rsidRDefault="00A22502" w:rsidP="00BA5E7B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Илюшин Л.С.</w:t>
            </w:r>
          </w:p>
        </w:tc>
      </w:tr>
      <w:tr w:rsidR="00BA5E7B" w:rsidTr="00AD6E3F">
        <w:trPr>
          <w:trHeight w:val="900"/>
        </w:trPr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E7B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5E7B" w:rsidRPr="00A22502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BA5E7B" w:rsidRDefault="00BA5E7B" w:rsidP="00BA5E7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педагогических наук, директор ГБОУ лицея</w:t>
            </w:r>
            <w:r w:rsidRPr="00E903C1">
              <w:rPr>
                <w:sz w:val="26"/>
                <w:szCs w:val="26"/>
              </w:rPr>
              <w:t xml:space="preserve"> № 590 Красносельского района Санкт-Петербурга</w:t>
            </w:r>
          </w:p>
        </w:tc>
        <w:tc>
          <w:tcPr>
            <w:tcW w:w="2268" w:type="dxa"/>
            <w:vMerge w:val="restart"/>
            <w:tcBorders>
              <w:left w:val="single" w:sz="4" w:space="0" w:color="FFFFFF" w:themeColor="background1"/>
            </w:tcBorders>
          </w:tcPr>
          <w:p w:rsidR="00BA5E7B" w:rsidRPr="00BA5E7B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BA5E7B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  <w:p w:rsidR="00BA5E7B" w:rsidRPr="00BA5E7B" w:rsidRDefault="00BA5E7B" w:rsidP="00BA5E7B">
            <w:pPr>
              <w:ind w:right="-143"/>
              <w:rPr>
                <w:sz w:val="26"/>
                <w:szCs w:val="26"/>
              </w:rPr>
            </w:pPr>
          </w:p>
          <w:p w:rsidR="00BA5E7B" w:rsidRPr="00BA5E7B" w:rsidRDefault="00BA5E7B" w:rsidP="00BA5E7B">
            <w:pPr>
              <w:ind w:right="-143"/>
              <w:rPr>
                <w:sz w:val="26"/>
                <w:szCs w:val="26"/>
              </w:rPr>
            </w:pPr>
          </w:p>
          <w:p w:rsidR="00BA5E7B" w:rsidRPr="00BA5E7B" w:rsidRDefault="00BA5E7B" w:rsidP="00967026">
            <w:pPr>
              <w:ind w:left="318" w:right="-143"/>
              <w:rPr>
                <w:sz w:val="26"/>
                <w:szCs w:val="26"/>
              </w:rPr>
            </w:pPr>
            <w:r w:rsidRPr="00BA5E7B">
              <w:rPr>
                <w:sz w:val="26"/>
                <w:szCs w:val="26"/>
              </w:rPr>
              <w:t>Каменский А.М.</w:t>
            </w:r>
          </w:p>
        </w:tc>
      </w:tr>
      <w:tr w:rsidR="00BA5E7B" w:rsidTr="00AD6E3F">
        <w:trPr>
          <w:trHeight w:val="70"/>
        </w:trPr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E7B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5E7B" w:rsidRDefault="00BA5E7B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</w:tcBorders>
          </w:tcPr>
          <w:p w:rsidR="00BA5E7B" w:rsidRPr="00A22502" w:rsidRDefault="00BA5E7B" w:rsidP="00A22502">
            <w:pPr>
              <w:ind w:right="-143"/>
              <w:rPr>
                <w:sz w:val="26"/>
                <w:szCs w:val="26"/>
                <w:lang w:val="en-US"/>
              </w:rPr>
            </w:pP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Default="00A22502" w:rsidP="00A22502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педагогических наук, профессор, член-корреспондент Федерального государственного бюджетного учреждения «Российская академия образования», ведущий эксперт Факультета </w:t>
            </w:r>
            <w:proofErr w:type="spellStart"/>
            <w:r>
              <w:rPr>
                <w:sz w:val="26"/>
                <w:szCs w:val="26"/>
              </w:rPr>
              <w:t>довузовского</w:t>
            </w:r>
            <w:proofErr w:type="spellEnd"/>
            <w:r>
              <w:rPr>
                <w:sz w:val="26"/>
                <w:szCs w:val="26"/>
              </w:rPr>
              <w:t xml:space="preserve"> образования, профессор департамента государственного администрирования факультета Санкт-Петербургская школа</w:t>
            </w:r>
          </w:p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социальных наук и востоковедения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Default="00805B9F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Default="00BA5E7B" w:rsidP="00FE678B">
            <w:pPr>
              <w:ind w:left="284" w:right="-143"/>
              <w:rPr>
                <w:sz w:val="26"/>
                <w:szCs w:val="26"/>
                <w:lang w:val="en-US"/>
              </w:rPr>
            </w:pPr>
          </w:p>
          <w:p w:rsidR="00BA5E7B" w:rsidRPr="00BA5E7B" w:rsidRDefault="00BA5E7B" w:rsidP="00BA5E7B">
            <w:pPr>
              <w:ind w:right="-143"/>
              <w:rPr>
                <w:sz w:val="26"/>
                <w:szCs w:val="26"/>
                <w:lang w:val="en-US"/>
              </w:rPr>
            </w:pPr>
          </w:p>
          <w:p w:rsidR="008C2AB8" w:rsidRPr="00A22502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BA5E7B" w:rsidRDefault="00A22502" w:rsidP="00BA5E7B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Лебедев О.Е.</w:t>
            </w: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C97DD6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A22502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экономических наук, доцент департамента государственного </w:t>
            </w:r>
            <w:r>
              <w:rPr>
                <w:sz w:val="26"/>
                <w:szCs w:val="26"/>
              </w:rPr>
              <w:lastRenderedPageBreak/>
              <w:t>администрирования факультета Санкт-Петербургская школа социальных наук и востоковедения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805B9F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Михеева С.А.</w:t>
            </w: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A22502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педагогических наук, профессор департамента</w:t>
            </w:r>
            <w:r w:rsidRPr="00805B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государственного администрирования факультета Санкт-Петербургская школа социальных наук и востоковедения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E903C1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Прикот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BA5E7B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BA5E7B" w:rsidRDefault="00A22502" w:rsidP="00BA5E7B">
            <w:pPr>
              <w:ind w:left="284" w:right="-143"/>
              <w:rPr>
                <w:sz w:val="26"/>
                <w:szCs w:val="26"/>
              </w:rPr>
            </w:pPr>
            <w:r w:rsidRPr="00A22502">
              <w:rPr>
                <w:sz w:val="26"/>
                <w:szCs w:val="26"/>
              </w:rPr>
              <w:t>кандидат педагогических наук, директор 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Pr="00E903C1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E903C1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BA5E7B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Рогозина Т.В.</w:t>
            </w: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A22502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образования Администрации Василеостровского района </w:t>
            </w:r>
            <w:r w:rsidRPr="00E903C1">
              <w:rPr>
                <w:sz w:val="26"/>
                <w:szCs w:val="26"/>
              </w:rPr>
              <w:t>Санкт-Петербурга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Pr="00E903C1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E903C1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A22502" w:rsidP="00A22502">
            <w:pPr>
              <w:ind w:left="284" w:right="-14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Цибизова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805B9F" w:rsidTr="00FE678B">
        <w:trPr>
          <w:trHeight w:val="1500"/>
        </w:trPr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F35C69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Default="00A22502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педагогических наук, доцент, заместитель директора Национального исследовательского университета «Высшая школа экономики»</w:t>
            </w:r>
          </w:p>
        </w:tc>
        <w:tc>
          <w:tcPr>
            <w:tcW w:w="2268" w:type="dxa"/>
            <w:vMerge w:val="restart"/>
            <w:tcBorders>
              <w:lef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A22502" w:rsidRPr="00C97DD6" w:rsidRDefault="00A22502" w:rsidP="00FE678B">
            <w:pPr>
              <w:ind w:left="284" w:right="-143"/>
              <w:rPr>
                <w:sz w:val="26"/>
                <w:szCs w:val="26"/>
              </w:rPr>
            </w:pPr>
          </w:p>
          <w:p w:rsidR="00805B9F" w:rsidRPr="00A22502" w:rsidRDefault="00A22502" w:rsidP="00A22502">
            <w:pPr>
              <w:ind w:left="284" w:right="-14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Чичерина Н.В.</w:t>
            </w:r>
          </w:p>
        </w:tc>
      </w:tr>
      <w:tr w:rsidR="00805B9F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43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</w:tcBorders>
          </w:tcPr>
          <w:p w:rsidR="00805B9F" w:rsidRDefault="00805B9F" w:rsidP="00FE678B">
            <w:pPr>
              <w:ind w:left="284" w:right="-143"/>
              <w:rPr>
                <w:sz w:val="26"/>
                <w:szCs w:val="26"/>
              </w:rPr>
            </w:pPr>
          </w:p>
        </w:tc>
      </w:tr>
      <w:tr w:rsidR="008C2AB8" w:rsidTr="00FE678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BA4A83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BA4A83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1 категории отдела сопровождения учебного процесса по направлению «Государственное и муниципальное управление» факультета Санкт-Петербургская школа социальных наук и востоковедения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A22502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FE678B" w:rsidRPr="00A22502" w:rsidRDefault="00FE678B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Pr="00805B9F" w:rsidRDefault="008C2AB8" w:rsidP="00FE678B">
            <w:pPr>
              <w:ind w:left="284" w:right="-143"/>
              <w:rPr>
                <w:sz w:val="26"/>
                <w:szCs w:val="26"/>
              </w:rPr>
            </w:pPr>
          </w:p>
          <w:p w:rsidR="008C2AB8" w:rsidRDefault="00BA4A83" w:rsidP="00FE678B">
            <w:pPr>
              <w:ind w:left="284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Чистякова С.В.</w:t>
            </w:r>
          </w:p>
        </w:tc>
      </w:tr>
    </w:tbl>
    <w:p w:rsidR="008C2AB8" w:rsidRDefault="008C2AB8" w:rsidP="00FE678B">
      <w:pPr>
        <w:ind w:left="284" w:right="-143"/>
        <w:rPr>
          <w:sz w:val="26"/>
          <w:szCs w:val="26"/>
        </w:rPr>
      </w:pPr>
    </w:p>
    <w:p w:rsidR="008C2AB8" w:rsidRDefault="008C2AB8" w:rsidP="00FE678B">
      <w:pPr>
        <w:ind w:left="284" w:right="-143"/>
        <w:rPr>
          <w:sz w:val="26"/>
          <w:szCs w:val="26"/>
        </w:rPr>
      </w:pPr>
    </w:p>
    <w:p w:rsidR="008C2AB8" w:rsidRDefault="008C2AB8" w:rsidP="00FE678B">
      <w:pPr>
        <w:ind w:left="284" w:right="-143"/>
        <w:rPr>
          <w:sz w:val="26"/>
          <w:szCs w:val="26"/>
        </w:rPr>
      </w:pPr>
    </w:p>
    <w:p w:rsidR="008C2AB8" w:rsidRDefault="008C2AB8" w:rsidP="00FE678B">
      <w:pPr>
        <w:ind w:left="284" w:right="-143"/>
        <w:rPr>
          <w:sz w:val="26"/>
          <w:szCs w:val="26"/>
        </w:rPr>
      </w:pPr>
    </w:p>
    <w:p w:rsidR="00A22502" w:rsidRPr="00BA5E7B" w:rsidRDefault="00AE1BCD" w:rsidP="00BA5E7B">
      <w:pPr>
        <w:spacing w:line="276" w:lineRule="auto"/>
        <w:ind w:left="284" w:right="-143"/>
        <w:rPr>
          <w:sz w:val="26"/>
          <w:szCs w:val="26"/>
          <w:lang w:val="en-US"/>
        </w:rPr>
      </w:pPr>
      <w:r w:rsidRPr="00AE1BCD">
        <w:rPr>
          <w:sz w:val="26"/>
          <w:szCs w:val="26"/>
        </w:rPr>
        <w:t xml:space="preserve">Проректор </w:t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  <w:lang w:val="en-US"/>
        </w:rPr>
        <w:tab/>
      </w:r>
      <w:r w:rsidR="00FE678B">
        <w:rPr>
          <w:sz w:val="26"/>
          <w:szCs w:val="26"/>
        </w:rPr>
        <w:t>С.Ю.</w:t>
      </w:r>
      <w:r w:rsidR="00FE678B">
        <w:rPr>
          <w:sz w:val="26"/>
          <w:szCs w:val="26"/>
          <w:lang w:val="en-US"/>
        </w:rPr>
        <w:t xml:space="preserve"> </w:t>
      </w:r>
      <w:r w:rsidRPr="00AE1BCD">
        <w:rPr>
          <w:sz w:val="26"/>
          <w:szCs w:val="26"/>
        </w:rPr>
        <w:t>Рощин</w:t>
      </w:r>
    </w:p>
    <w:sectPr w:rsidR="00A22502" w:rsidRPr="00BA5E7B" w:rsidSect="00FE678B">
      <w:pgSz w:w="11906" w:h="16838"/>
      <w:pgMar w:top="1134" w:right="1134" w:bottom="851" w:left="1134" w:header="709" w:footer="709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8"/>
    <w:rsid w:val="002B6D58"/>
    <w:rsid w:val="003812A2"/>
    <w:rsid w:val="00572908"/>
    <w:rsid w:val="00805B9F"/>
    <w:rsid w:val="008C2AB8"/>
    <w:rsid w:val="00967026"/>
    <w:rsid w:val="00A22502"/>
    <w:rsid w:val="00AE1BCD"/>
    <w:rsid w:val="00BA4A83"/>
    <w:rsid w:val="00BA5E7B"/>
    <w:rsid w:val="00C97DD6"/>
    <w:rsid w:val="00E903C1"/>
    <w:rsid w:val="00F35C69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44C5"/>
  <w15:docId w15:val="{FEBD6276-55F3-463D-BAD9-428870DD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rPr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A64C9C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64C9C"/>
    <w:rPr>
      <w:vertAlign w:val="superscript"/>
    </w:rPr>
  </w:style>
  <w:style w:type="paragraph" w:styleId="a7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453F1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table" w:styleId="aa">
    <w:name w:val="Table Grid"/>
    <w:basedOn w:val="a1"/>
    <w:uiPriority w:val="59"/>
    <w:rsid w:val="008F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tI9FLUQ7LqPkTzFYp7SgmW5Sg==">AMUW2mWuDDlGJEqIAYhrlqHXP5liZGIjyeUTVYBBlAQIIARV8jrRJlGmFaqO1voc57aDw7VqgLcD0dCKDRmzNcrjFkVrXFYAzqSc2UpzsSj6E5eDrWFlHi3Df9aMKbmf/09mv/DKjgN6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dcterms:created xsi:type="dcterms:W3CDTF">2020-11-05T14:52:00Z</dcterms:created>
  <dcterms:modified xsi:type="dcterms:W3CDTF">2020-11-05T14:52:00Z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2020/9/26-233</vt:lpwstr>
  </property>
  <property fmtid="{D5CDD505-2E9C-101B-9397-08002B2CF9AE}" pid="8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образованием» факультета Санкт-Петербургская школа социальных наук и востоковедения</vt:lpwstr>
  </property>
  <property fmtid="{D5CDD505-2E9C-101B-9397-08002B2CF9AE}" pid="9" name="signerName">
    <vt:lpwstr>Рощин С.Ю.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Чистякова С.В.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Рощин С.Ю.</vt:lpwstr>
  </property>
  <property fmtid="{D5CDD505-2E9C-101B-9397-08002B2CF9AE}" pid="15" name="documentSubtype">
    <vt:lpwstr>О составе экзаменационных, государственных  и апелляционных комиссий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Специалист по учебно-методической работе 1 категории</vt:lpwstr>
  </property>
  <property fmtid="{D5CDD505-2E9C-101B-9397-08002B2CF9AE}" pid="19" name="docTitle">
    <vt:lpwstr>Приказ</vt:lpwstr>
  </property>
  <property fmtid="{D5CDD505-2E9C-101B-9397-08002B2CF9AE}" pid="20" name="signerIof">
    <vt:lpwstr>С.Ю. Рощин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</Properties>
</file>