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:rsidR="00680F28" w:rsidRPr="00AC077E" w:rsidRDefault="00AC077E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«ФИЛОЛОГИЯ»</w:t>
      </w:r>
    </w:p>
    <w:tbl>
      <w:tblPr>
        <w:tblW w:w="0" w:type="auto"/>
        <w:tblLook w:val="0000"/>
      </w:tblPr>
      <w:tblGrid>
        <w:gridCol w:w="3935"/>
        <w:gridCol w:w="5635"/>
      </w:tblGrid>
      <w:tr w:rsidR="008B44F3" w:rsidRPr="00F61906" w:rsidTr="00AC077E">
        <w:tc>
          <w:tcPr>
            <w:tcW w:w="3936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5" w:type="dxa"/>
          </w:tcPr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AC077E">
              <w:rPr>
                <w:rFonts w:ascii="Times New Roman" w:hAnsi="Times New Roman"/>
                <w:sz w:val="28"/>
                <w:szCs w:val="28"/>
              </w:rPr>
              <w:t>3</w:t>
            </w:r>
            <w:r w:rsidR="00C54F88">
              <w:rPr>
                <w:rFonts w:ascii="Times New Roman" w:hAnsi="Times New Roman"/>
                <w:sz w:val="28"/>
                <w:szCs w:val="28"/>
              </w:rPr>
              <w:t>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AC077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077E">
              <w:rPr>
                <w:rFonts w:ascii="Times New Roman" w:hAnsi="Times New Roman"/>
                <w:sz w:val="28"/>
                <w:szCs w:val="28"/>
              </w:rPr>
              <w:t>1</w:t>
            </w:r>
            <w:r w:rsidR="00987FCB">
              <w:rPr>
                <w:rFonts w:ascii="Times New Roman" w:hAnsi="Times New Roman"/>
                <w:sz w:val="28"/>
                <w:szCs w:val="28"/>
              </w:rPr>
              <w:t>9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6F60BC" w:rsidP="006F60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Казарцев</w:t>
            </w:r>
            <w:proofErr w:type="spellEnd"/>
            <w:r>
              <w:t xml:space="preserve"> Е. В</w:t>
            </w:r>
            <w:r w:rsidR="00F67B7E">
              <w:t>.</w:t>
            </w:r>
            <w:r w:rsidR="008C6EED" w:rsidRPr="00707852">
              <w:t xml:space="preserve">, </w:t>
            </w:r>
            <w:proofErr w:type="spellStart"/>
            <w:r>
              <w:t>к.филол.н</w:t>
            </w:r>
            <w:proofErr w:type="spellEnd"/>
            <w:r>
              <w:t>.</w:t>
            </w:r>
            <w:r w:rsidR="008C6EED" w:rsidRPr="00707852">
              <w:t xml:space="preserve">, </w:t>
            </w:r>
            <w:r>
              <w:t>профессор</w:t>
            </w:r>
            <w:r w:rsidR="008C6EED" w:rsidRPr="00707852">
              <w:t>,</w:t>
            </w:r>
            <w:r w:rsidR="008C6EED" w:rsidRPr="00FB4224">
              <w:t xml:space="preserve"> </w:t>
            </w:r>
            <w:proofErr w:type="spellStart"/>
            <w:r w:rsidRPr="006F60BC">
              <w:rPr>
                <w:sz w:val="23"/>
                <w:szCs w:val="23"/>
                <w:lang w:val="en-US"/>
              </w:rPr>
              <w:t>ekazartsev</w:t>
            </w:r>
            <w:proofErr w:type="spellEnd"/>
            <w:r w:rsidRPr="006F60BC">
              <w:rPr>
                <w:sz w:val="23"/>
                <w:szCs w:val="23"/>
              </w:rPr>
              <w:t>@</w:t>
            </w:r>
            <w:proofErr w:type="spellStart"/>
            <w:r w:rsidRPr="006F60BC">
              <w:rPr>
                <w:sz w:val="23"/>
                <w:szCs w:val="23"/>
              </w:rPr>
              <w:t>hse.ru</w:t>
            </w:r>
            <w:proofErr w:type="spellEnd"/>
          </w:p>
          <w:p w:rsidR="006F60BC" w:rsidRPr="00AC077E" w:rsidRDefault="006F60BC" w:rsidP="006F60BC">
            <w:pPr>
              <w:pStyle w:val="Default"/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AC077E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AC077E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AC077E">
              <w:rPr>
                <w:rFonts w:ascii="Times New Roman" w:eastAsia="Calibri" w:hAnsi="Times New Roman"/>
                <w:szCs w:val="24"/>
              </w:rPr>
              <w:t>ак.час</w:t>
            </w:r>
            <w:r w:rsidRPr="00AC077E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EB5AB1" w:rsidRPr="00AC077E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:rsidR="00C2318D" w:rsidRPr="00F61906" w:rsidRDefault="00C2318D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8B44F3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AC077E" w:rsidRPr="00F61906" w:rsidTr="00AF2C17">
        <w:tc>
          <w:tcPr>
            <w:tcW w:w="2162" w:type="dxa"/>
            <w:shd w:val="clear" w:color="auto" w:fill="auto"/>
          </w:tcPr>
          <w:p w:rsidR="00AC077E" w:rsidRPr="00F61906" w:rsidRDefault="00AC077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AC077E" w:rsidRPr="00AC077E" w:rsidRDefault="00AC077E" w:rsidP="00F06C7D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:rsidR="00C54F88" w:rsidRPr="00226358" w:rsidRDefault="00C54F88" w:rsidP="00C54F8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ОБЩИЕ ПОЛОЖЕНИЯ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Цель и задачи практики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>Цель проведения практики</w:t>
      </w: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  <w:rPr>
          <w:rFonts w:eastAsia="Times New Roman"/>
          <w:color w:val="auto"/>
          <w:lang w:eastAsia="ru-RU"/>
        </w:rPr>
      </w:pPr>
      <w:r w:rsidRPr="00226358">
        <w:rPr>
          <w:rFonts w:eastAsia="Times New Roman"/>
          <w:color w:val="auto"/>
          <w:lang w:eastAsia="ru-RU"/>
        </w:rPr>
        <w:t>Цель проведения практики – закрепление навыков анализа словесного и культурного материала, представленного в различных памятниках культуры, текстах, а также звучащей речи.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областях, как межкультурная и языковая коммуникация, средства массовой информации, работа в сфере образования и науки.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lastRenderedPageBreak/>
        <w:t>Задачами практики являются: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практическим навыкам работы с разными видами филологических источников и их систематизации, интерпретации и комментирования источников;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– обучение студентов ОП «Филология» навыкам анализа и интерпретации филологической информации, содержащейся как в традиционных источниках, так и в «новых» источниках (лингвистические и литературные корпусы, </w:t>
      </w:r>
      <w:proofErr w:type="spellStart"/>
      <w:r w:rsidRPr="00226358">
        <w:rPr>
          <w:rFonts w:ascii="Times New Roman" w:hAnsi="Times New Roman"/>
          <w:sz w:val="24"/>
          <w:szCs w:val="24"/>
        </w:rPr>
        <w:t>медиа</w:t>
      </w:r>
      <w:proofErr w:type="spellEnd"/>
      <w:r w:rsidRPr="00226358">
        <w:rPr>
          <w:rFonts w:ascii="Times New Roman" w:hAnsi="Times New Roman"/>
          <w:sz w:val="24"/>
          <w:szCs w:val="24"/>
        </w:rPr>
        <w:t>, видео и проч.);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формирование у студентов ОП «Филология» навыков работы в научных проектах с разным дизайном и уровнем академической поддержки;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358">
        <w:rPr>
          <w:rFonts w:ascii="Times New Roman" w:hAnsi="Times New Roman"/>
          <w:sz w:val="24"/>
          <w:szCs w:val="24"/>
        </w:rPr>
        <w:t xml:space="preserve">– отработка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</w:t>
      </w:r>
      <w:proofErr w:type="spellStart"/>
      <w:r w:rsidRPr="00226358">
        <w:rPr>
          <w:rFonts w:ascii="Times New Roman" w:hAnsi="Times New Roman"/>
          <w:sz w:val="24"/>
          <w:szCs w:val="24"/>
        </w:rPr>
        <w:t>массмедийной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 и коммуникативной сферах.</w:t>
      </w:r>
      <w:proofErr w:type="gramEnd"/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Место практики в структуре ОП 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Практика входит в блок Б.ПД «Практики, проектная и/ или исследовательская работа».</w:t>
      </w:r>
      <w:r w:rsidRPr="00226358">
        <w:tab/>
      </w:r>
    </w:p>
    <w:p w:rsidR="00C54F88" w:rsidRPr="00226358" w:rsidRDefault="00C54F88" w:rsidP="00C54F88">
      <w:pPr>
        <w:pStyle w:val="Default"/>
        <w:jc w:val="both"/>
      </w:pPr>
      <w:r w:rsidRPr="00226358">
        <w:t>Учебная практика занимает важное место в структуре ОП «Филология», является обязательной и проводится в летне-осенний период после окончания 2 курса. Ко времени практики студенты должны освоить такие дисциплины, как: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Введение в языкознание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 мировой литературы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Академическое письмо (на русском языке)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Безопасность жизнедеятельности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Теория и типология мирового фольклора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Старославянский язык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Ключевые тексты мировой литературы</w:t>
      </w:r>
    </w:p>
    <w:p w:rsidR="00C54F88" w:rsidRPr="00226358" w:rsidRDefault="00C54F88" w:rsidP="00C54F88">
      <w:pPr>
        <w:pStyle w:val="af3"/>
        <w:ind w:left="1066" w:hanging="357"/>
        <w:jc w:val="both"/>
        <w:rPr>
          <w:sz w:val="24"/>
          <w:szCs w:val="24"/>
        </w:rPr>
      </w:pPr>
    </w:p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ab/>
        <w:t>Основные положения дисциплины используются в дальнейшем при освоении следующих дисциплин: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Производственная преддипломная практика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Подготовка выпускной квалификационной работы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Защита выпускной квалификационной работы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Способ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Стационарный и выездной.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Форма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Практика проводится дискретно по видам практик — путем выделения в календарном учебном графике непрерывного периода учебного времени в течение 2 недель.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/>
      </w:tblPr>
      <w:tblGrid>
        <w:gridCol w:w="1615"/>
        <w:gridCol w:w="2646"/>
        <w:gridCol w:w="5084"/>
      </w:tblGrid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:rsidR="00C54F88" w:rsidRPr="00226358" w:rsidRDefault="00C54F88" w:rsidP="00FD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 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>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т.д.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proofErr w:type="gramStart"/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 в учреждениях образования, культуры, управления, СМИ, в социально-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16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proofErr w:type="gramStart"/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участвовать в последовательной реализации индивидуального или коллективного проекта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proofErr w:type="gramStart"/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proofErr w:type="gramStart"/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23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  <w:spacing w:after="47"/>
            </w:pPr>
            <w:proofErr w:type="gramStart"/>
            <w:r w:rsidRPr="00226358">
              <w:t xml:space="preserve">Научно-исследовательская деятельность;  Педагогическая деятельность;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  <w:proofErr w:type="gramEnd"/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и распространению высоких стандартов речевой культуры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r w:rsidRPr="00226358">
              <w:lastRenderedPageBreak/>
              <w:t xml:space="preserve">Реферативно-аналитическая деятельность в </w:t>
            </w:r>
            <w:r w:rsidRPr="00226358">
              <w:lastRenderedPageBreak/>
              <w:t>учреждениях образования, культуры, государственного управления и т.д.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 xml:space="preserve">. </w:t>
            </w: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  <w:proofErr w:type="gramEnd"/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C54F88" w:rsidRPr="00226358" w:rsidTr="00FD0A58">
        <w:tc>
          <w:tcPr>
            <w:tcW w:w="1615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29</w:t>
            </w:r>
          </w:p>
        </w:tc>
        <w:tc>
          <w:tcPr>
            <w:tcW w:w="2646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к распространению и популяризации филологических знаний</w:t>
            </w:r>
          </w:p>
        </w:tc>
        <w:tc>
          <w:tcPr>
            <w:tcW w:w="5084" w:type="dxa"/>
          </w:tcPr>
          <w:p w:rsidR="00C54F88" w:rsidRPr="00226358" w:rsidRDefault="00C54F88" w:rsidP="00FD0A58">
            <w:pPr>
              <w:pStyle w:val="Default"/>
            </w:pPr>
            <w:proofErr w:type="gramStart"/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  <w:proofErr w:type="gramEnd"/>
          </w:p>
        </w:tc>
      </w:tr>
    </w:tbl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rFonts w:eastAsiaTheme="majorEastAsia"/>
          <w:sz w:val="24"/>
          <w:szCs w:val="24"/>
        </w:rPr>
        <w:t>Структура и содержание практики</w:t>
      </w:r>
      <w:r w:rsidRPr="00226358">
        <w:rPr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4292"/>
        <w:gridCol w:w="1724"/>
      </w:tblGrid>
      <w:tr w:rsidR="00C54F88" w:rsidRPr="00226358" w:rsidTr="00FD0A58">
        <w:tc>
          <w:tcPr>
            <w:tcW w:w="696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3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3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2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научных исследований.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для публикации в научных изданиях.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научной информации; подготовка обзоров, аннотаций, составление рефератов и библиографий по заданной тематике,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Проведение лингвистического полевого исследования или эксперимента, сбор лингвистической информации, работа с информантами, лингвистический анализ данных.</w:t>
            </w:r>
          </w:p>
          <w:p w:rsidR="00C54F88" w:rsidRPr="00226358" w:rsidRDefault="00C54F88" w:rsidP="00FD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Работа по переводу, реконструкции и лингвистическому анализу памятников древних письменностей.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УК-1; УК-3; УК-5; УК-6; ПК-16, ПК-17, ПК-18, ПК-23,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созданию, аннотированию, использованию филологических информационных ресурсов и лингвистических корпусов.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 экскурсионных проектов на русском и английском языках.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УК-6; УК-7;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обобщение материала, необходимого для подготовки отчетных документов о практике.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УК-5; УК-7; ПК-16, ПК-17, ПК-18, ПК-28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Реферативно-аналитическая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proofErr w:type="gramStart"/>
            <w:r w:rsidRPr="00226358">
              <w:rPr>
                <w:rFonts w:eastAsia="Times New Roman"/>
                <w:lang w:eastAsia="ru-RU"/>
              </w:rPr>
              <w:t>- Создание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предприятии.</w:t>
            </w:r>
            <w:proofErr w:type="gramEnd"/>
          </w:p>
          <w:p w:rsidR="00C54F88" w:rsidRPr="00226358" w:rsidRDefault="00C54F88" w:rsidP="00FD0A58">
            <w:pPr>
              <w:pStyle w:val="Default"/>
              <w:spacing w:after="44"/>
            </w:pPr>
            <w:r w:rsidRPr="00226358">
              <w:t xml:space="preserve">- Редактирование и комментирование изданий русской и зарубежных литератур. </w:t>
            </w:r>
          </w:p>
          <w:p w:rsidR="00C54F88" w:rsidRPr="00226358" w:rsidRDefault="00C54F88" w:rsidP="00FD0A58">
            <w:pPr>
              <w:pStyle w:val="Default"/>
              <w:spacing w:after="44"/>
            </w:pPr>
            <w:r w:rsidRPr="00226358">
              <w:t xml:space="preserve">- Доработка и обработка (корректура, систематизирование, обобщение, реферирование) текстов различных типов; подготовка обзоров.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lastRenderedPageBreak/>
              <w:t>- Участие в составлении словарей и энциклопедий, выпуске периодических изданий, работа с архивными материалами и т.п.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УК-3;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Реферативно-переводческая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Письменный перевод текстов различных типов с иностранных языков и на иностранные языки; </w:t>
            </w:r>
          </w:p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аннотирование и реферирование документов, научных трудов и художественных произведений на иностранных языках;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осуществление устной и письменной коммуникации, как межличностной, так и массовой, в том числе межкультурной</w:t>
            </w:r>
            <w:proofErr w:type="gramStart"/>
            <w:r w:rsidRPr="00226358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УК-5; ПК-17, ПК-18, ПК-28, ПК-29</w:t>
            </w:r>
          </w:p>
        </w:tc>
      </w:tr>
      <w:tr w:rsidR="00C54F88" w:rsidRPr="00226358" w:rsidTr="00FD0A58">
        <w:tc>
          <w:tcPr>
            <w:tcW w:w="696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FD0A58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</w:t>
            </w:r>
            <w:r w:rsidRPr="00226358">
              <w:rPr>
                <w:rFonts w:eastAsia="Times New Roman"/>
                <w:lang w:eastAsia="ru-RU"/>
              </w:rPr>
              <w:br/>
              <w:t xml:space="preserve">- Подготовка учебно-методических материалов для проведения занятий и внеклассных мероприятий на основе существующих методик; </w:t>
            </w:r>
          </w:p>
          <w:p w:rsidR="00C54F88" w:rsidRPr="00226358" w:rsidRDefault="00C54F88" w:rsidP="00FD0A58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Распространение и популяризация филологических </w:t>
            </w:r>
            <w:proofErr w:type="gramStart"/>
            <w:r w:rsidRPr="00226358">
              <w:rPr>
                <w:rFonts w:eastAsia="Times New Roman"/>
                <w:lang w:eastAsia="ru-RU"/>
              </w:rPr>
              <w:t>знаний</w:t>
            </w:r>
            <w:proofErr w:type="gramEnd"/>
            <w:r w:rsidRPr="00226358">
              <w:rPr>
                <w:rFonts w:eastAsia="Times New Roman"/>
                <w:lang w:eastAsia="ru-RU"/>
              </w:rPr>
              <w:t xml:space="preserve"> и воспитательная работа с учащимися. </w:t>
            </w:r>
          </w:p>
        </w:tc>
        <w:tc>
          <w:tcPr>
            <w:tcW w:w="1724" w:type="dxa"/>
          </w:tcPr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УК-7; ПК-18,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ПК-28,</w:t>
            </w:r>
          </w:p>
          <w:p w:rsidR="00C54F88" w:rsidRPr="00226358" w:rsidRDefault="00C54F88" w:rsidP="00FD0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</w:tbl>
    <w:p w:rsidR="00C54F88" w:rsidRPr="00226358" w:rsidRDefault="00C54F88" w:rsidP="00C54F88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«Филология». При отсутствии согласования места практики со стороны руководителя от факультета </w:t>
      </w:r>
      <w:proofErr w:type="gramStart"/>
      <w:r w:rsidRPr="00226358">
        <w:t>последний</w:t>
      </w:r>
      <w:proofErr w:type="gramEnd"/>
      <w:r w:rsidRPr="00226358">
        <w:t xml:space="preserve"> имеет право не засчитывать данную практику.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proofErr w:type="gramStart"/>
      <w:r w:rsidRPr="00226358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226358"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Формы отчетности по практике</w:t>
      </w:r>
    </w:p>
    <w:p w:rsidR="00C54F88" w:rsidRPr="00226358" w:rsidRDefault="00C54F88" w:rsidP="00C54F88">
      <w:pPr>
        <w:pStyle w:val="Default"/>
      </w:pPr>
      <w:r w:rsidRPr="00226358">
        <w:t xml:space="preserve">По итогам практики студентом предоставляется комплект документов, который включает в себя: 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  <w:jc w:val="both"/>
      </w:pPr>
      <w:r w:rsidRPr="00226358">
        <w:rPr>
          <w:b/>
          <w:bCs/>
        </w:rPr>
        <w:t xml:space="preserve">- Отчет о прохождении практики </w:t>
      </w:r>
      <w:r w:rsidRPr="00226358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lastRenderedPageBreak/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C54F88" w:rsidRPr="00226358" w:rsidRDefault="00C54F88" w:rsidP="00C54F88">
      <w:pPr>
        <w:pStyle w:val="Default"/>
        <w:ind w:firstLine="709"/>
        <w:jc w:val="both"/>
      </w:pPr>
      <w:proofErr w:type="gramStart"/>
      <w:r w:rsidRPr="00226358"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  <w:proofErr w:type="gramEnd"/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заключении дается общая характеристика выполнения задач практики.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Это могут быть: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внутренние документы организации и подразделения, где студент проходил практику; различные нормативные документы;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аналитические разработки, в которых студент принимал участие с отражением его роли в них;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таблицы, графики, методики и т.д.;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другие документы и информация, которую студент считает нужным отразить.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Содержание отчета должно соответствовать: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характеру организации (предприятия), в которой проходила практика студента, с отражением особенностей ее бизнеса;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содержанию заданий, полученных студентом от руководителя практики со стороны образовательной программы.</w:t>
      </w:r>
    </w:p>
    <w:p w:rsidR="00C54F88" w:rsidRPr="00226358" w:rsidRDefault="00C54F88" w:rsidP="00C54F88">
      <w:pPr>
        <w:pStyle w:val="Default"/>
        <w:jc w:val="both"/>
      </w:pPr>
      <w:r w:rsidRPr="00226358">
        <w:t>Примерная форма представлена в Приложении 1.</w:t>
      </w:r>
    </w:p>
    <w:p w:rsidR="005A7EF2" w:rsidRDefault="005A7EF2" w:rsidP="00C54F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 отчету прилагается</w:t>
      </w:r>
    </w:p>
    <w:p w:rsidR="00C54F88" w:rsidRPr="00226358" w:rsidRDefault="00C54F88" w:rsidP="00C54F88">
      <w:pPr>
        <w:pStyle w:val="Default"/>
        <w:spacing w:after="44"/>
        <w:jc w:val="both"/>
      </w:pPr>
      <w:r w:rsidRPr="00226358">
        <w:t xml:space="preserve">− </w:t>
      </w:r>
      <w:r w:rsidRPr="00226358">
        <w:rPr>
          <w:b/>
        </w:rPr>
        <w:t>Дневник практики</w:t>
      </w:r>
      <w:r w:rsidRPr="00226358">
        <w:t>, в котором отражен алгоритм деятельности студента в период практики, индивидуальное задание, описание результатов деятельности, примеры отработки компетенций на практике. Примерная форма представлена в Приложении 2; обязательными элементами дневника являются:</w:t>
      </w:r>
    </w:p>
    <w:p w:rsidR="00C54F88" w:rsidRPr="00226358" w:rsidRDefault="00C54F88" w:rsidP="00C54F88">
      <w:pPr>
        <w:pStyle w:val="Default"/>
        <w:numPr>
          <w:ilvl w:val="0"/>
          <w:numId w:val="31"/>
        </w:numPr>
        <w:spacing w:after="44"/>
        <w:jc w:val="both"/>
      </w:pPr>
      <w:r w:rsidRPr="00226358">
        <w:t>формулировка индивидуального задания;</w:t>
      </w:r>
    </w:p>
    <w:p w:rsidR="00C54F88" w:rsidRPr="00226358" w:rsidRDefault="00C54F88" w:rsidP="00C54F88">
      <w:pPr>
        <w:pStyle w:val="Default"/>
        <w:numPr>
          <w:ilvl w:val="0"/>
          <w:numId w:val="31"/>
        </w:numPr>
        <w:spacing w:after="44"/>
        <w:jc w:val="both"/>
      </w:pPr>
      <w:r w:rsidRPr="00226358">
        <w:t>календарный график прохождения практики;</w:t>
      </w:r>
    </w:p>
    <w:p w:rsidR="00C54F88" w:rsidRPr="00226358" w:rsidRDefault="00C54F88" w:rsidP="00C54F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организации о проделанной студентом работе.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составляется на студента по окончанию практики руководителем от предприятия. В отзыве необходимо указать – фамилию, инициалы студента, место прохождения практики, время прохождения. Отзыв пишется в свободной форме, но в нем должны быть отражены: </w:t>
      </w:r>
    </w:p>
    <w:p w:rsidR="00C54F88" w:rsidRPr="00226358" w:rsidRDefault="00C54F88" w:rsidP="00C54F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выполняемые студентом профессиональные задачи;</w:t>
      </w:r>
    </w:p>
    <w:p w:rsidR="00C54F88" w:rsidRPr="00226358" w:rsidRDefault="00C54F88" w:rsidP="00C54F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полнота и качество выполнения программы практики;</w:t>
      </w:r>
    </w:p>
    <w:p w:rsidR="00C54F88" w:rsidRPr="00226358" w:rsidRDefault="00C54F88" w:rsidP="00C54F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отношение студента к выполнению заданий, полученных в период практики;</w:t>
      </w:r>
    </w:p>
    <w:p w:rsidR="00C54F88" w:rsidRPr="00226358" w:rsidRDefault="00C54F88" w:rsidP="00C54F88">
      <w:pPr>
        <w:numPr>
          <w:ilvl w:val="0"/>
          <w:numId w:val="7"/>
        </w:numPr>
        <w:spacing w:after="0" w:line="240" w:lineRule="auto"/>
        <w:ind w:right="200"/>
        <w:jc w:val="both"/>
        <w:rPr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оценка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планируемых компетенций (дескрипторов их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</w:p>
    <w:p w:rsidR="00C54F88" w:rsidRPr="00226358" w:rsidRDefault="00C54F88" w:rsidP="00C54F88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В заключени</w:t>
      </w:r>
      <w:proofErr w:type="gram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proofErr w:type="gram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руководителя практики от предприятия могут быть представлены 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54F88" w:rsidRPr="00226358" w:rsidRDefault="00C54F88" w:rsidP="00C54F88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Студенты, выполняющие работу в рамках проекта «Учебный ассистент» (УА), представляющего собой полномасштабную форму реализации всего комплекса мероприятий для апробации и развития навыков педагогической, проектной и организационно-управленческой деятельности, предусмотренных настоящей программой, имеет право получить соответствующую оценку по проекту в качестве практики.</w:t>
      </w:r>
      <w:proofErr w:type="gram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Руководителем практики в этом случае выступает руководитель учебного ассистента, ведущий занятия по учебной дисциплине, к которой студент привлекался в качестве УА. Студент заполняет пакет отчетной документации по учебной практике на основании сведений и с указанием реальных сроков своей работы в должности учебного ассистента.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ТЕКУЩИЙ КОНТРОЛЬ И промежуточная аттестация по практике</w:t>
      </w: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А.  ТЕКУЩИЙ КОНТРОЛЬ</w:t>
      </w:r>
      <w:r w:rsidRPr="00226358">
        <w:rPr>
          <w:sz w:val="24"/>
          <w:szCs w:val="24"/>
        </w:rPr>
        <w:br/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226358">
        <w:rPr>
          <w:rFonts w:ascii="Times New Roman" w:hAnsi="Times New Roman"/>
          <w:i/>
          <w:sz w:val="24"/>
          <w:szCs w:val="24"/>
        </w:rPr>
        <w:t xml:space="preserve"> </w:t>
      </w:r>
      <w:r w:rsidRPr="00226358">
        <w:rPr>
          <w:rFonts w:ascii="Times New Roman" w:hAnsi="Times New Roman"/>
          <w:sz w:val="24"/>
          <w:szCs w:val="24"/>
        </w:rPr>
        <w:t>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контроль выполнения индивидуального задания. 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Отношение деятельности организации – места практики к профессиональной </w:t>
      </w:r>
      <w:proofErr w:type="gramStart"/>
      <w:r w:rsidRPr="00226358">
        <w:rPr>
          <w:rFonts w:ascii="Times New Roman" w:hAnsi="Times New Roman"/>
          <w:sz w:val="24"/>
          <w:szCs w:val="24"/>
        </w:rPr>
        <w:t>области</w:t>
      </w:r>
      <w:proofErr w:type="gramEnd"/>
      <w:r w:rsidRPr="00226358">
        <w:rPr>
          <w:rFonts w:ascii="Times New Roman" w:hAnsi="Times New Roman"/>
          <w:sz w:val="24"/>
          <w:szCs w:val="24"/>
        </w:rPr>
        <w:t xml:space="preserve"> проходящего практику студента, связь практической деятельности в рамках практики с отраслью знаний по специальности студента, набор и характер способов выработки образовательных компетенций по настоящей программ в рамках практической деятельности в </w:t>
      </w:r>
      <w:proofErr w:type="spellStart"/>
      <w:r w:rsidRPr="00226358">
        <w:rPr>
          <w:rFonts w:ascii="Times New Roman" w:hAnsi="Times New Roman"/>
          <w:sz w:val="24"/>
          <w:szCs w:val="24"/>
        </w:rPr>
        <w:t>организаиции</w:t>
      </w:r>
      <w:proofErr w:type="spellEnd"/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Б. ПРОМЕЖУТОЧНАЯ АТТЕСТАЦИЯ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Промежуточная аттестация по практике производится в виде экзамена; экзамен проводится в форме оценки отчетной документации результатов практики и на основании замечаний и/или оценки руководителя от организации. К экзамену допускаются все студенты, фактически проходившие практику без пропусков по неуважительным причинам. Экзамен проводится после завершения учебной практики. В случае необходимости, экзаменатор просит студента дать устные разъяснения к отчетной документации. По результатам экзамена (проверки отчетной документации) руководитель практики от факультета выставляет оценку на титульные листы отчёта по практике по 10-балльной шкале, принятой в НИУ ВШЭ. Оценка выставляется в ведомость.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Оценка деятельности студента непосредственно в ходе прохождения практики дается руководителем от предприятия (профильной организации), исходя из степени </w:t>
      </w:r>
      <w:proofErr w:type="spellStart"/>
      <w:r w:rsidRPr="00226358">
        <w:t>формированности</w:t>
      </w:r>
      <w:proofErr w:type="spellEnd"/>
      <w:r w:rsidRPr="00226358">
        <w:t xml:space="preserve"> всех или части целевых компетенций, предусмотренных настоящей программой. При необходимости, </w:t>
      </w:r>
      <w:proofErr w:type="spellStart"/>
      <w:r w:rsidRPr="00226358">
        <w:t>сформированность</w:t>
      </w:r>
      <w:proofErr w:type="spellEnd"/>
      <w:r w:rsidRPr="00226358">
        <w:t xml:space="preserve"> каждой компетенции оценивается руководителем от предприятия отдельно и фиксируется в отчетной документации. Для руководителя от предприятия допустима также общая формулировка оценки в форме отзыва о работе студента; в таком случае выражение оценки по 10-балльной шкале осуществляется экзаменатором. В обоих случаях экспертная оценка (отзыв, мнение) руководителя практики от предприятия </w:t>
      </w:r>
      <w:proofErr w:type="spellStart"/>
      <w:r w:rsidRPr="00226358">
        <w:t>яляется</w:t>
      </w:r>
      <w:proofErr w:type="spellEnd"/>
      <w:r w:rsidRPr="00226358">
        <w:t xml:space="preserve"> решающей для результирующей оценки, выставляемой на экзамене.</w:t>
      </w:r>
    </w:p>
    <w:p w:rsidR="00C54F88" w:rsidRPr="00226358" w:rsidRDefault="00C54F88" w:rsidP="00C54F88">
      <w:pPr>
        <w:pStyle w:val="Default"/>
        <w:tabs>
          <w:tab w:val="left" w:pos="5265"/>
        </w:tabs>
        <w:jc w:val="both"/>
      </w:pPr>
      <w:r w:rsidRPr="00226358">
        <w:tab/>
      </w:r>
    </w:p>
    <w:p w:rsidR="00C54F88" w:rsidRPr="00226358" w:rsidRDefault="00C54F88" w:rsidP="00C54F8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26358">
        <w:rPr>
          <w:rFonts w:ascii="Times New Roman" w:eastAsia="Calibri" w:hAnsi="Times New Roman"/>
          <w:b/>
          <w:sz w:val="24"/>
          <w:szCs w:val="24"/>
        </w:rPr>
        <w:tab/>
        <w:t>Формирование оценки по практике</w:t>
      </w:r>
    </w:p>
    <w:p w:rsidR="00C54F88" w:rsidRPr="00226358" w:rsidRDefault="00C54F88" w:rsidP="00C54F88">
      <w:pPr>
        <w:pStyle w:val="21"/>
        <w:spacing w:line="360" w:lineRule="auto"/>
        <w:jc w:val="center"/>
        <w:rPr>
          <w:rFonts w:eastAsia="Arial Unicode MS"/>
          <w:sz w:val="24"/>
          <w:szCs w:val="24"/>
          <w:vertAlign w:val="subscript"/>
        </w:rPr>
      </w:pP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результирующая</w:t>
      </w:r>
      <w:proofErr w:type="spellEnd"/>
      <w:r w:rsidRPr="00226358">
        <w:rPr>
          <w:rFonts w:eastAsia="Arial Unicode MS"/>
          <w:sz w:val="24"/>
          <w:szCs w:val="24"/>
        </w:rPr>
        <w:t xml:space="preserve"> = 0,3</w:t>
      </w:r>
      <w:r w:rsidRPr="00226358">
        <w:rPr>
          <w:sz w:val="24"/>
          <w:szCs w:val="24"/>
        </w:rPr>
        <w:t>·</w:t>
      </w: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отчет</w:t>
      </w:r>
      <w:proofErr w:type="spellEnd"/>
      <w:r w:rsidRPr="00226358">
        <w:rPr>
          <w:rFonts w:eastAsia="Arial Unicode MS"/>
          <w:sz w:val="24"/>
          <w:szCs w:val="24"/>
          <w:vertAlign w:val="subscript"/>
        </w:rPr>
        <w:t xml:space="preserve"> о практике</w:t>
      </w:r>
      <w:r w:rsidRPr="00226358">
        <w:rPr>
          <w:rFonts w:eastAsia="Arial Unicode MS"/>
          <w:sz w:val="24"/>
          <w:szCs w:val="24"/>
        </w:rPr>
        <w:t xml:space="preserve"> + 0,7</w:t>
      </w:r>
      <w:r w:rsidRPr="00226358">
        <w:rPr>
          <w:sz w:val="24"/>
          <w:szCs w:val="24"/>
        </w:rPr>
        <w:t>·</w:t>
      </w:r>
      <w:proofErr w:type="spellStart"/>
      <w:r w:rsidRPr="00226358">
        <w:rPr>
          <w:sz w:val="24"/>
          <w:szCs w:val="24"/>
        </w:rPr>
        <w:t>О</w:t>
      </w:r>
      <w:r w:rsidRPr="00226358">
        <w:rPr>
          <w:sz w:val="24"/>
          <w:szCs w:val="24"/>
          <w:vertAlign w:val="subscript"/>
        </w:rPr>
        <w:t>оценка</w:t>
      </w:r>
      <w:proofErr w:type="spellEnd"/>
      <w:r w:rsidRPr="00226358">
        <w:rPr>
          <w:sz w:val="24"/>
          <w:szCs w:val="24"/>
          <w:vertAlign w:val="subscript"/>
        </w:rPr>
        <w:t xml:space="preserve"> руководителя практики от профильной организации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Результирующая оценка округляется арифметически (≥0,5 = 1).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Критерии и оценочная шкала для промежуточной аттестации по практике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9"/>
        <w:gridCol w:w="4909"/>
      </w:tblGrid>
      <w:tr w:rsidR="00C54F88" w:rsidRPr="00226358" w:rsidTr="00FD0A58">
        <w:trPr>
          <w:trHeight w:val="204"/>
        </w:trPr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C54F88" w:rsidRPr="00226358" w:rsidTr="00FD0A58">
        <w:trPr>
          <w:trHeight w:val="1355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>
              <w:t>8–</w:t>
            </w:r>
            <w:r w:rsidRPr="001976CD">
              <w:t>10</w:t>
            </w:r>
            <w:r>
              <w:t xml:space="preserve"> —</w:t>
            </w:r>
            <w:r w:rsidRPr="001976CD">
              <w:t xml:space="preserve"> </w:t>
            </w:r>
            <w:r>
              <w:t>Отлично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</w:t>
            </w:r>
            <w:r w:rsidRPr="00226358">
              <w:lastRenderedPageBreak/>
              <w:t>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 Отзыв/оценка руководителя от предприятия соответствует категории «отлично».</w:t>
            </w:r>
          </w:p>
        </w:tc>
      </w:tr>
      <w:tr w:rsidR="00C54F88" w:rsidRPr="00226358" w:rsidTr="00FD0A58">
        <w:trPr>
          <w:trHeight w:val="1355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</w:pPr>
          </w:p>
          <w:p w:rsidR="00C54F88" w:rsidRPr="001976CD" w:rsidRDefault="00C54F88" w:rsidP="00FD0A58">
            <w:pPr>
              <w:pStyle w:val="Default"/>
            </w:pPr>
            <w:r w:rsidRPr="001976CD">
              <w:t>7</w:t>
            </w:r>
            <w:r>
              <w:t xml:space="preserve"> </w:t>
            </w:r>
            <w:r>
              <w:softHyphen/>
              <w:t>– 6—</w:t>
            </w:r>
            <w:r w:rsidRPr="001976CD">
              <w:t xml:space="preserve"> </w:t>
            </w:r>
            <w:r>
              <w:t>Х</w:t>
            </w:r>
            <w:r w:rsidRPr="001976CD">
              <w:t xml:space="preserve">орошо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  <w:proofErr w:type="gramStart"/>
            <w:r w:rsidRPr="00226358">
              <w:t xml:space="preserve"> .</w:t>
            </w:r>
            <w:proofErr w:type="gramEnd"/>
            <w:r w:rsidRPr="00226358">
              <w:t xml:space="preserve"> Отзыв/оценка руководителя от предприятия соответствует категории «хорошо».</w:t>
            </w:r>
          </w:p>
        </w:tc>
      </w:tr>
      <w:tr w:rsidR="00C54F88" w:rsidRPr="00226358" w:rsidTr="00FD0A58">
        <w:trPr>
          <w:trHeight w:val="1240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>
              <w:t xml:space="preserve">4 – </w:t>
            </w:r>
            <w:r w:rsidRPr="001976CD">
              <w:t>5</w:t>
            </w:r>
            <w:r>
              <w:t xml:space="preserve"> —</w:t>
            </w:r>
            <w:r w:rsidRPr="001976CD">
              <w:t xml:space="preserve"> </w:t>
            </w:r>
            <w:r>
              <w:t>У</w:t>
            </w:r>
            <w:r w:rsidRPr="001976CD">
              <w:t xml:space="preserve">довлетворительно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Замечания от представител</w:t>
            </w:r>
            <w:r>
              <w:t>ей предприятия или организации</w:t>
            </w:r>
            <w:r w:rsidRPr="00226358">
              <w:t xml:space="preserve">. Отзыв/оценка руководителя от предприятия соответствует </w:t>
            </w:r>
            <w:r w:rsidRPr="00226358">
              <w:lastRenderedPageBreak/>
              <w:t>категории «удовлетворительно».</w:t>
            </w:r>
          </w:p>
        </w:tc>
      </w:tr>
      <w:tr w:rsidR="00C54F88" w:rsidRPr="00226358" w:rsidTr="00FD0A58">
        <w:trPr>
          <w:trHeight w:val="780"/>
        </w:trPr>
        <w:tc>
          <w:tcPr>
            <w:tcW w:w="4909" w:type="dxa"/>
          </w:tcPr>
          <w:p w:rsidR="00C54F88" w:rsidRPr="001976CD" w:rsidRDefault="00C54F88" w:rsidP="00FD0A58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FD0A58">
            <w:pPr>
              <w:pStyle w:val="Default"/>
            </w:pPr>
            <w:r w:rsidRPr="001976CD">
              <w:t>1</w:t>
            </w:r>
            <w:r>
              <w:t>–3 —</w:t>
            </w:r>
            <w:r w:rsidRPr="001976CD">
              <w:t xml:space="preserve"> </w:t>
            </w:r>
            <w:r>
              <w:t>Н</w:t>
            </w:r>
            <w:r w:rsidRPr="001976CD">
              <w:t xml:space="preserve">еудовлетворительно </w:t>
            </w:r>
          </w:p>
          <w:p w:rsidR="00C54F88" w:rsidRPr="001976CD" w:rsidRDefault="00C54F88" w:rsidP="00FD0A58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FD0A58">
            <w:pPr>
              <w:pStyle w:val="Default"/>
            </w:pPr>
            <w:r w:rsidRPr="00226358"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  <w:proofErr w:type="gramStart"/>
            <w:r w:rsidRPr="00226358">
              <w:t xml:space="preserve"> .</w:t>
            </w:r>
            <w:proofErr w:type="gramEnd"/>
            <w:r w:rsidRPr="00226358">
              <w:t xml:space="preserve"> Отзыв/оценка руководителя от предприятия соответствует категории «неудовлетворительно».</w:t>
            </w:r>
          </w:p>
        </w:tc>
      </w:tr>
    </w:tbl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Фонд оценочных сре</w:t>
      </w:r>
      <w:proofErr w:type="gramStart"/>
      <w:r w:rsidRPr="00226358">
        <w:rPr>
          <w:sz w:val="24"/>
          <w:szCs w:val="24"/>
        </w:rPr>
        <w:t>дств дл</w:t>
      </w:r>
      <w:proofErr w:type="gramEnd"/>
      <w:r w:rsidRPr="00226358">
        <w:rPr>
          <w:sz w:val="24"/>
          <w:szCs w:val="24"/>
        </w:rPr>
        <w:t>я проведения промежуточной аттестации по практике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включает: </w:t>
      </w:r>
    </w:p>
    <w:p w:rsidR="00C54F88" w:rsidRPr="00226358" w:rsidRDefault="00C54F88" w:rsidP="00C54F88">
      <w:pPr>
        <w:pStyle w:val="Default"/>
      </w:pPr>
      <w:r w:rsidRPr="00226358">
        <w:t>- примеры контрольных вопросов и задания по разделам (этапам) практики:</w:t>
      </w:r>
    </w:p>
    <w:p w:rsidR="00C54F88" w:rsidRPr="00226358" w:rsidRDefault="00C54F88" w:rsidP="00C54F88">
      <w:pPr>
        <w:pStyle w:val="Default"/>
      </w:pPr>
    </w:p>
    <w:p w:rsidR="00C54F88" w:rsidRDefault="00C54F88" w:rsidP="00C54F88">
      <w:pPr>
        <w:pStyle w:val="Default"/>
        <w:numPr>
          <w:ilvl w:val="0"/>
          <w:numId w:val="29"/>
        </w:numPr>
      </w:pPr>
      <w:r w:rsidRPr="00226358">
        <w:t xml:space="preserve">В чем состоит различие между этапами практики, указанными в дневнике/отчете? 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Дайте профессиональное обоснование количества этапов и обрисуйте логику своих действий на предприятии.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В чем Вы видите профессиональную целесообразность проведения практики в указанные Вами сроки?</w:t>
      </w:r>
    </w:p>
    <w:p w:rsidR="00C54F88" w:rsidRPr="00226358" w:rsidRDefault="00C54F88" w:rsidP="00C54F88">
      <w:pPr>
        <w:pStyle w:val="Default"/>
      </w:pPr>
      <w:r w:rsidRPr="00226358">
        <w:t xml:space="preserve"> </w:t>
      </w:r>
    </w:p>
    <w:p w:rsidR="00C54F88" w:rsidRPr="00226358" w:rsidRDefault="00C54F88" w:rsidP="00C54F88">
      <w:pPr>
        <w:pStyle w:val="Default"/>
      </w:pPr>
      <w:r w:rsidRPr="00226358">
        <w:t>- примеры индивидуальных заданий в соответствии с задачами практик: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создание базы электронных данных по филологии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 xml:space="preserve">осуществление </w:t>
      </w:r>
      <w:proofErr w:type="spellStart"/>
      <w:r w:rsidRPr="00226358">
        <w:t>логистической</w:t>
      </w:r>
      <w:proofErr w:type="spellEnd"/>
      <w:r w:rsidRPr="00226358">
        <w:t>/редакторской/иной деятельности на предприятии, смежной с филологическими специальностями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 xml:space="preserve">перевод материалов </w:t>
      </w:r>
      <w:proofErr w:type="gramStart"/>
      <w:r w:rsidRPr="00226358">
        <w:t>по специальности с иностранного языка/на иностранный язык в соответствии с нуждами</w:t>
      </w:r>
      <w:proofErr w:type="gramEnd"/>
      <w:r w:rsidRPr="00226358">
        <w:t xml:space="preserve"> профильной организации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осуществление организационно-методического сопровождения учебного курса (в рамках проекта «Учебный ассистент»)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>Список оценочных средств формируется, исходя из индивидуальной специфики деятельности студента.</w:t>
      </w:r>
    </w:p>
    <w:p w:rsidR="00C54F88" w:rsidRPr="00226358" w:rsidRDefault="00C54F88" w:rsidP="00C54F88">
      <w:pPr>
        <w:pStyle w:val="a5"/>
        <w:tabs>
          <w:tab w:val="left" w:pos="1125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i/>
          <w:sz w:val="24"/>
          <w:szCs w:val="24"/>
        </w:rPr>
        <w:tab/>
      </w: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Учебно-методическое и информационное обеспечение практики</w:t>
      </w:r>
    </w:p>
    <w:p w:rsidR="00C54F88" w:rsidRPr="00226358" w:rsidRDefault="00C54F88" w:rsidP="00C54F8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26358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C54F88" w:rsidRPr="00226358" w:rsidRDefault="00C54F88" w:rsidP="00C54F88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Овчаров А.О.,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Овчарова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Т.Н. Методология научного исследования [электронный ресурс]. М.: ИНФРА-М, 2014.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FD0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Стилистика и литературное редактирование: в 2 тт. [электронный ресурс]. М.: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C54F88" w:rsidRPr="00226358" w:rsidTr="00FD0A58">
        <w:tc>
          <w:tcPr>
            <w:tcW w:w="567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Эсалнек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А.Я. Основы литературоведения. Анализ художественного произведения [электронный ресурс]. М.: Флинта: Наука, 2004.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Куликова  И. С.,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Салмина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Д. В. Введение в языкознание: в 2 тт. 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электронный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].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3) Davies, A., and Elder, C. Handbook of Applied Linguistics. John Wiley, 2004.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4) Baker, P. Contemporary Corpus Linguistics. Bloomsbury, 2009.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  <w:p w:rsidR="00C54F88" w:rsidRPr="00226358" w:rsidRDefault="00C54F88" w:rsidP="00FD0A58">
            <w:pPr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5) Auger, A., and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Barrière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C. (eds.) Probing Semantic Relations: Exploration and Identification in Specialized Texts.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2010.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</w:tc>
      </w:tr>
      <w:tr w:rsidR="00C54F88" w:rsidRPr="00226358" w:rsidTr="00FD0A58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C54F88" w:rsidRPr="00226358" w:rsidTr="00FD0A58">
        <w:tc>
          <w:tcPr>
            <w:tcW w:w="570" w:type="dxa"/>
            <w:shd w:val="clear" w:color="auto" w:fill="auto"/>
          </w:tcPr>
          <w:p w:rsidR="00C54F88" w:rsidRPr="00226358" w:rsidRDefault="00C54F88" w:rsidP="00FD0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C54F88" w:rsidRPr="00226358" w:rsidRDefault="00C54F88" w:rsidP="00F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Российская государственная библиотека </w:t>
            </w:r>
            <w:hyperlink r:id="rId8" w:history="1">
              <w:r w:rsidRPr="00226358">
                <w:rPr>
                  <w:rStyle w:val="af4"/>
                  <w:sz w:val="24"/>
                  <w:szCs w:val="24"/>
                </w:rPr>
                <w:t>https://www.rsl.ru/</w:t>
              </w:r>
            </w:hyperlink>
          </w:p>
          <w:p w:rsidR="00C54F88" w:rsidRPr="00226358" w:rsidRDefault="00C54F88" w:rsidP="00FD0A58">
            <w:pPr>
              <w:spacing w:after="0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Российская национальная библиотека </w:t>
            </w:r>
            <w:hyperlink r:id="rId9" w:history="1">
              <w:r w:rsidRPr="00226358">
                <w:rPr>
                  <w:rStyle w:val="af4"/>
                  <w:sz w:val="24"/>
                  <w:szCs w:val="24"/>
                </w:rPr>
                <w:t>http://nlr.ru/</w:t>
              </w:r>
            </w:hyperlink>
          </w:p>
          <w:p w:rsidR="00C54F88" w:rsidRPr="00226358" w:rsidRDefault="00C54F88" w:rsidP="00FD0A58">
            <w:pPr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3) Национальный корпус русского языка </w:t>
            </w:r>
            <w:hyperlink r:id="rId10" w:history="1">
              <w:r w:rsidRPr="00226358">
                <w:rPr>
                  <w:rStyle w:val="af4"/>
                  <w:sz w:val="24"/>
                  <w:szCs w:val="24"/>
                </w:rPr>
                <w:t>http://ruscorpora.ru/</w:t>
              </w:r>
            </w:hyperlink>
          </w:p>
        </w:tc>
      </w:tr>
    </w:tbl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C54F88" w:rsidRPr="00226358" w:rsidRDefault="00C54F88" w:rsidP="00C54F88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F88" w:rsidRPr="00226358" w:rsidRDefault="00C54F88" w:rsidP="00C54F88">
      <w:pPr>
        <w:pStyle w:val="1"/>
        <w:ind w:left="375" w:hanging="375"/>
        <w:rPr>
          <w:sz w:val="24"/>
          <w:szCs w:val="24"/>
        </w:rPr>
      </w:pPr>
      <w:r w:rsidRPr="00226358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358">
        <w:rPr>
          <w:rFonts w:ascii="Times New Roman" w:hAnsi="Times New Roman"/>
          <w:sz w:val="24"/>
          <w:szCs w:val="24"/>
        </w:rPr>
        <w:t xml:space="preserve">В случае необходимости, обучающимся из числа лиц с ограниченными </w:t>
      </w:r>
      <w:r w:rsidRPr="00226358">
        <w:rPr>
          <w:rFonts w:ascii="Times New Roman" w:hAnsi="Times New Roman"/>
          <w:sz w:val="24"/>
          <w:szCs w:val="24"/>
        </w:rPr>
        <w:lastRenderedPageBreak/>
        <w:t>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</w:t>
      </w:r>
      <w:proofErr w:type="spellStart"/>
      <w:r w:rsidRPr="00226358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 (перевод учебных материалов в </w:t>
      </w:r>
      <w:proofErr w:type="spellStart"/>
      <w:r w:rsidRPr="0022635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3)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226358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5C0E1C" w:rsidRDefault="005C0E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F61906" w:rsidRDefault="006C5039" w:rsidP="006C503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C5039" w:rsidRPr="00F61906" w:rsidRDefault="006C5039" w:rsidP="006C503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6C5039" w:rsidRPr="00F61906" w:rsidRDefault="006C5039" w:rsidP="006C5039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C5039" w:rsidRPr="00F61906" w:rsidRDefault="006C5039" w:rsidP="006C50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C54F88" w:rsidRPr="001976CD" w:rsidRDefault="00C54F88" w:rsidP="00C54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C54F88" w:rsidRPr="001976CD" w:rsidRDefault="00C54F88" w:rsidP="00C54F88">
      <w:pPr>
        <w:pStyle w:val="Default"/>
      </w:pP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6C5039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4F88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4F88" w:rsidRPr="00F61906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  <w:r w:rsidR="00C54F88">
        <w:rPr>
          <w:rFonts w:ascii="Times New Roman" w:hAnsi="Times New Roman"/>
          <w:b/>
          <w:sz w:val="24"/>
          <w:szCs w:val="24"/>
        </w:rPr>
        <w:br/>
      </w:r>
    </w:p>
    <w:p w:rsidR="006C5039" w:rsidRPr="00F61906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C5039" w:rsidRPr="00F61906" w:rsidRDefault="006C5039" w:rsidP="006C5039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C5039" w:rsidRPr="00F61906" w:rsidRDefault="006C5039" w:rsidP="006C5039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F61906" w:rsidRDefault="006C5039" w:rsidP="006C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C5039" w:rsidRPr="00F61906" w:rsidRDefault="006C5039" w:rsidP="006C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C5039" w:rsidRPr="00C052E9" w:rsidRDefault="006C5039" w:rsidP="006C5039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C5039" w:rsidRPr="00F004E8" w:rsidRDefault="006C5039" w:rsidP="006C5039">
      <w:pPr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6C5039" w:rsidRPr="00C052E9" w:rsidRDefault="006C5039" w:rsidP="006C503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C5039" w:rsidRPr="00C052E9" w:rsidRDefault="006C5039" w:rsidP="006C503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C052E9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C052E9">
        <w:rPr>
          <w:rFonts w:ascii="Times New Roman" w:hAnsi="Times New Roman"/>
          <w:sz w:val="24"/>
          <w:szCs w:val="24"/>
        </w:rPr>
        <w:t>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C5039" w:rsidRPr="00F61906" w:rsidRDefault="006C5039" w:rsidP="006C503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C5039" w:rsidRPr="00F61906" w:rsidRDefault="006C5039" w:rsidP="006C503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C54F88" w:rsidRDefault="006C5039" w:rsidP="00C54F88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C54F88">
        <w:rPr>
          <w:rFonts w:ascii="Times New Roman" w:hAnsi="Times New Roman"/>
          <w:b/>
          <w:bCs/>
          <w:sz w:val="23"/>
          <w:szCs w:val="23"/>
        </w:rPr>
        <w:lastRenderedPageBreak/>
        <w:t xml:space="preserve">Приложение 2 </w:t>
      </w:r>
    </w:p>
    <w:p w:rsidR="006C5039" w:rsidRPr="00C54F88" w:rsidRDefault="006C5039" w:rsidP="00C54F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4F88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C5039" w:rsidRPr="00F61906" w:rsidRDefault="006C5039" w:rsidP="006C50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C54F88" w:rsidRPr="001976CD" w:rsidRDefault="00C54F88" w:rsidP="00C54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C5039" w:rsidRPr="00F61906" w:rsidRDefault="00C54F88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6C5039" w:rsidRPr="00F61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:rsidR="006C5039" w:rsidRPr="00F61906" w:rsidRDefault="006C5039" w:rsidP="006C503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39" w:rsidRPr="005A7EF2" w:rsidRDefault="006C5039" w:rsidP="006C50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5039" w:rsidRPr="005A7EF2" w:rsidRDefault="006C5039" w:rsidP="006C50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6C5039" w:rsidRPr="005A7EF2" w:rsidRDefault="006C5039" w:rsidP="006C50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6C5039" w:rsidRPr="005A7EF2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Оценка_______________________</w:t>
      </w:r>
    </w:p>
    <w:p w:rsidR="006C5039" w:rsidRPr="005A7EF2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6C5039" w:rsidRPr="005A7EF2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39" w:rsidRPr="005A7EF2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___________ 20__</w:t>
      </w:r>
    </w:p>
    <w:p w:rsidR="006C5039" w:rsidRPr="005A7EF2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  <w:sectPr w:rsidR="006C5039" w:rsidRPr="005A7EF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A7EF2">
        <w:rPr>
          <w:rFonts w:ascii="Times New Roman" w:hAnsi="Times New Roman"/>
          <w:sz w:val="24"/>
          <w:szCs w:val="24"/>
        </w:rPr>
        <w:br w:type="page"/>
      </w: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5A7EF2" w:rsidRDefault="005A7EF2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Default="006C503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p w:rsidR="00A56779" w:rsidRPr="00F61906" w:rsidRDefault="00A5677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6C5039" w:rsidRPr="00F61906" w:rsidTr="005957CE">
        <w:tc>
          <w:tcPr>
            <w:tcW w:w="1526" w:type="dxa"/>
            <w:vAlign w:val="center"/>
          </w:tcPr>
          <w:p w:rsidR="006C5039" w:rsidRPr="00F61906" w:rsidRDefault="006C5039" w:rsidP="0059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6C5039" w:rsidRPr="00F61906" w:rsidRDefault="006C5039" w:rsidP="0059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C5039" w:rsidRPr="00F61906" w:rsidRDefault="006C5039" w:rsidP="0059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C5039" w:rsidRPr="00F61906" w:rsidTr="005957CE">
        <w:trPr>
          <w:trHeight w:hRule="exact" w:val="674"/>
        </w:trPr>
        <w:tc>
          <w:tcPr>
            <w:tcW w:w="1526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39" w:rsidRPr="00F61906" w:rsidTr="005957CE">
        <w:trPr>
          <w:trHeight w:hRule="exact" w:val="340"/>
        </w:trPr>
        <w:tc>
          <w:tcPr>
            <w:tcW w:w="1526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39" w:rsidRPr="00F61906" w:rsidTr="005957CE">
        <w:trPr>
          <w:trHeight w:hRule="exact" w:val="340"/>
        </w:trPr>
        <w:tc>
          <w:tcPr>
            <w:tcW w:w="1526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39" w:rsidRPr="00F61906" w:rsidTr="005957CE">
        <w:trPr>
          <w:trHeight w:hRule="exact" w:val="340"/>
        </w:trPr>
        <w:tc>
          <w:tcPr>
            <w:tcW w:w="1526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39" w:rsidRPr="00F61906" w:rsidTr="005957CE">
        <w:trPr>
          <w:trHeight w:hRule="exact" w:val="340"/>
        </w:trPr>
        <w:tc>
          <w:tcPr>
            <w:tcW w:w="1526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039" w:rsidRPr="00F61906" w:rsidRDefault="006C5039" w:rsidP="005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39" w:rsidRPr="00F61906" w:rsidRDefault="006C5039" w:rsidP="0059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039" w:rsidRPr="00F61906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6C5039" w:rsidRPr="00F61906" w:rsidRDefault="006C5039" w:rsidP="006C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6C5039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A7EF2">
        <w:rPr>
          <w:rFonts w:ascii="Times New Roman" w:hAnsi="Times New Roman"/>
          <w:b/>
          <w:sz w:val="24"/>
          <w:szCs w:val="24"/>
        </w:rPr>
        <w:t>3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6C5039" w:rsidRPr="00F61906" w:rsidRDefault="006C5039" w:rsidP="006C50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6C5039" w:rsidRPr="00F61906" w:rsidRDefault="006C5039" w:rsidP="006C5039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6C5039" w:rsidRPr="00F61906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6C5039" w:rsidRPr="00F61906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6C5039" w:rsidRPr="00F61906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6C5039" w:rsidRPr="00F61906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:rsidR="006C5039" w:rsidRPr="00F61906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6C5039" w:rsidRPr="00680F28" w:rsidRDefault="006C5039" w:rsidP="006C5039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:rsidR="006C5039" w:rsidRPr="00F61906" w:rsidRDefault="006C5039" w:rsidP="006C5039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6C5039" w:rsidRPr="00A56779" w:rsidRDefault="006C5039" w:rsidP="00A56779">
      <w:pPr>
        <w:pStyle w:val="Default"/>
      </w:pPr>
      <w:r w:rsidRPr="00F61906">
        <w:t xml:space="preserve">__-м </w:t>
      </w:r>
      <w:proofErr w:type="gramStart"/>
      <w:r w:rsidRPr="00F61906">
        <w:t>курсе</w:t>
      </w:r>
      <w:proofErr w:type="gramEnd"/>
      <w:r w:rsidRPr="00F61906">
        <w:t xml:space="preserve"> образовательной программы «</w:t>
      </w:r>
      <w:r w:rsidR="00A56779">
        <w:t>Филология</w:t>
      </w:r>
      <w:r w:rsidRPr="00F61906">
        <w:t xml:space="preserve">» (направление </w:t>
      </w:r>
      <w:r w:rsidR="00A56779" w:rsidRPr="00A56779">
        <w:t>45.03.01 Филология</w:t>
      </w:r>
      <w:r w:rsidRPr="00A56779">
        <w:t>),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6C5039" w:rsidRPr="00F61906" w:rsidRDefault="006C5039" w:rsidP="006C503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6C5039" w:rsidRPr="00F61906" w:rsidRDefault="006C5039" w:rsidP="006C503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6C5039" w:rsidRPr="00F61906" w:rsidRDefault="006C5039" w:rsidP="006C503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6C5039" w:rsidRPr="00F61906" w:rsidRDefault="006C5039" w:rsidP="006C503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6C5039" w:rsidRPr="00F61906" w:rsidRDefault="006C5039" w:rsidP="006C503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6C5039" w:rsidRPr="00F61906" w:rsidRDefault="006C5039" w:rsidP="006C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6C5039" w:rsidRDefault="006C5039" w:rsidP="006C5039"/>
    <w:p w:rsidR="008B44F3" w:rsidRPr="00424564" w:rsidRDefault="008B44F3" w:rsidP="0042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44F3" w:rsidRPr="00424564" w:rsidSect="00E9626C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92" w:rsidRDefault="00C03692" w:rsidP="008B44F3">
      <w:pPr>
        <w:spacing w:after="0" w:line="240" w:lineRule="auto"/>
      </w:pPr>
      <w:r>
        <w:separator/>
      </w:r>
    </w:p>
  </w:endnote>
  <w:endnote w:type="continuationSeparator" w:id="0">
    <w:p w:rsidR="00C03692" w:rsidRDefault="00C0369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92" w:rsidRDefault="00C03692" w:rsidP="008B44F3">
      <w:pPr>
        <w:spacing w:after="0" w:line="240" w:lineRule="auto"/>
      </w:pPr>
      <w:r>
        <w:separator/>
      </w:r>
    </w:p>
  </w:footnote>
  <w:footnote w:type="continuationSeparator" w:id="0">
    <w:p w:rsidR="00C03692" w:rsidRDefault="00C03692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328B3CCB"/>
    <w:multiLevelType w:val="hybridMultilevel"/>
    <w:tmpl w:val="EB8E3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448A3"/>
    <w:multiLevelType w:val="multilevel"/>
    <w:tmpl w:val="D5E2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D1C8D"/>
    <w:multiLevelType w:val="hybridMultilevel"/>
    <w:tmpl w:val="54EE92AC"/>
    <w:lvl w:ilvl="0" w:tplc="63923FD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04F3E"/>
    <w:multiLevelType w:val="hybridMultilevel"/>
    <w:tmpl w:val="AD6EE1D8"/>
    <w:lvl w:ilvl="0" w:tplc="932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AA6813"/>
    <w:multiLevelType w:val="hybridMultilevel"/>
    <w:tmpl w:val="C65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72FC8"/>
    <w:multiLevelType w:val="hybridMultilevel"/>
    <w:tmpl w:val="8E5039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9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F3"/>
    <w:rsid w:val="0006636C"/>
    <w:rsid w:val="000F5C98"/>
    <w:rsid w:val="00125A7E"/>
    <w:rsid w:val="00151E9E"/>
    <w:rsid w:val="001E579A"/>
    <w:rsid w:val="00233219"/>
    <w:rsid w:val="00261D58"/>
    <w:rsid w:val="002C167D"/>
    <w:rsid w:val="002D20C5"/>
    <w:rsid w:val="002D686A"/>
    <w:rsid w:val="002E605F"/>
    <w:rsid w:val="0031706A"/>
    <w:rsid w:val="0034176E"/>
    <w:rsid w:val="003C7C4A"/>
    <w:rsid w:val="003E5195"/>
    <w:rsid w:val="00424564"/>
    <w:rsid w:val="00450021"/>
    <w:rsid w:val="004A5E56"/>
    <w:rsid w:val="005161FA"/>
    <w:rsid w:val="00555F1B"/>
    <w:rsid w:val="0057542D"/>
    <w:rsid w:val="005814E6"/>
    <w:rsid w:val="005A7EF2"/>
    <w:rsid w:val="005C0E1C"/>
    <w:rsid w:val="005C3582"/>
    <w:rsid w:val="005D54C9"/>
    <w:rsid w:val="00614887"/>
    <w:rsid w:val="00670791"/>
    <w:rsid w:val="00680F28"/>
    <w:rsid w:val="006C5039"/>
    <w:rsid w:val="006D3E0A"/>
    <w:rsid w:val="006F60BC"/>
    <w:rsid w:val="00721D4D"/>
    <w:rsid w:val="0073329E"/>
    <w:rsid w:val="0073704B"/>
    <w:rsid w:val="00743E35"/>
    <w:rsid w:val="00775430"/>
    <w:rsid w:val="00792F42"/>
    <w:rsid w:val="00795793"/>
    <w:rsid w:val="007E1335"/>
    <w:rsid w:val="00822EC5"/>
    <w:rsid w:val="00864388"/>
    <w:rsid w:val="0087111C"/>
    <w:rsid w:val="008B44F3"/>
    <w:rsid w:val="008C6EED"/>
    <w:rsid w:val="008F5B9F"/>
    <w:rsid w:val="00904C45"/>
    <w:rsid w:val="00934311"/>
    <w:rsid w:val="009472B9"/>
    <w:rsid w:val="00956D24"/>
    <w:rsid w:val="00983D42"/>
    <w:rsid w:val="00987FCB"/>
    <w:rsid w:val="009E1F0A"/>
    <w:rsid w:val="00A403F7"/>
    <w:rsid w:val="00A41448"/>
    <w:rsid w:val="00A4173C"/>
    <w:rsid w:val="00A5305F"/>
    <w:rsid w:val="00A552DB"/>
    <w:rsid w:val="00A56779"/>
    <w:rsid w:val="00AC077E"/>
    <w:rsid w:val="00AE509F"/>
    <w:rsid w:val="00B63451"/>
    <w:rsid w:val="00BD1373"/>
    <w:rsid w:val="00BF66FA"/>
    <w:rsid w:val="00C03692"/>
    <w:rsid w:val="00C11C66"/>
    <w:rsid w:val="00C2318D"/>
    <w:rsid w:val="00C326C9"/>
    <w:rsid w:val="00C54F88"/>
    <w:rsid w:val="00C7339C"/>
    <w:rsid w:val="00C74452"/>
    <w:rsid w:val="00CA683D"/>
    <w:rsid w:val="00CC6714"/>
    <w:rsid w:val="00CE798D"/>
    <w:rsid w:val="00CF5010"/>
    <w:rsid w:val="00D01FE3"/>
    <w:rsid w:val="00D3139D"/>
    <w:rsid w:val="00D42632"/>
    <w:rsid w:val="00D5658E"/>
    <w:rsid w:val="00D6192E"/>
    <w:rsid w:val="00D731B8"/>
    <w:rsid w:val="00DE19AB"/>
    <w:rsid w:val="00DF4016"/>
    <w:rsid w:val="00DF5DC8"/>
    <w:rsid w:val="00E0194E"/>
    <w:rsid w:val="00E07228"/>
    <w:rsid w:val="00E110FF"/>
    <w:rsid w:val="00E514CA"/>
    <w:rsid w:val="00E80B1F"/>
    <w:rsid w:val="00E9626C"/>
    <w:rsid w:val="00EB5AB1"/>
    <w:rsid w:val="00ED308F"/>
    <w:rsid w:val="00EE5F01"/>
    <w:rsid w:val="00EF7D55"/>
    <w:rsid w:val="00F004E8"/>
    <w:rsid w:val="00F0396C"/>
    <w:rsid w:val="00F03F58"/>
    <w:rsid w:val="00F67B7E"/>
    <w:rsid w:val="00FA563F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Маркированный."/>
    <w:basedOn w:val="a0"/>
    <w:uiPriority w:val="99"/>
    <w:rsid w:val="00A552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список с точками"/>
    <w:basedOn w:val="a0"/>
    <w:rsid w:val="00E80B1F"/>
    <w:pPr>
      <w:numPr>
        <w:numId w:val="2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731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731B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1"/>
    <w:uiPriority w:val="99"/>
    <w:unhideWhenUsed/>
    <w:rsid w:val="008F5B9F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8F5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3AC2-C8AA-4119-95D1-D5359CC4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 Анна Евгеньевна</dc:creator>
  <cp:lastModifiedBy>Tatiana Sherstinova</cp:lastModifiedBy>
  <cp:revision>5</cp:revision>
  <cp:lastPrinted>2019-11-27T18:43:00Z</cp:lastPrinted>
  <dcterms:created xsi:type="dcterms:W3CDTF">2020-02-07T07:26:00Z</dcterms:created>
  <dcterms:modified xsi:type="dcterms:W3CDTF">2020-02-19T22:04:00Z</dcterms:modified>
</cp:coreProperties>
</file>