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779D" w14:textId="77777777" w:rsidR="00933F5F" w:rsidRPr="00933F5F" w:rsidRDefault="00933F5F" w:rsidP="00933F5F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Санкт-Петербургский филиал</w:t>
      </w:r>
    </w:p>
    <w:p w14:paraId="2653B20E" w14:textId="77777777" w:rsidR="00933F5F" w:rsidRPr="00933F5F" w:rsidRDefault="00933F5F" w:rsidP="00933F5F">
      <w:pPr>
        <w:jc w:val="center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  <w:r w:rsidRPr="00933F5F">
        <w:rPr>
          <w:b/>
          <w:bCs/>
          <w:sz w:val="22"/>
          <w:szCs w:val="22"/>
        </w:rPr>
        <w:br/>
        <w:t xml:space="preserve">"Национальный исследовательский университет </w:t>
      </w:r>
      <w:r w:rsidRPr="00933F5F">
        <w:rPr>
          <w:b/>
          <w:bCs/>
          <w:sz w:val="22"/>
          <w:szCs w:val="22"/>
        </w:rPr>
        <w:br/>
        <w:t>"Высшая школа экономики"</w:t>
      </w:r>
    </w:p>
    <w:p w14:paraId="73E28BC3" w14:textId="77777777" w:rsidR="00933F5F" w:rsidRPr="00933F5F" w:rsidRDefault="00933F5F" w:rsidP="00933F5F">
      <w:pPr>
        <w:keepLines/>
        <w:jc w:val="center"/>
        <w:rPr>
          <w:sz w:val="16"/>
          <w:szCs w:val="16"/>
        </w:rPr>
      </w:pPr>
    </w:p>
    <w:p w14:paraId="5518BF62" w14:textId="52BF3A89" w:rsidR="00933F5F" w:rsidRPr="00933F5F" w:rsidRDefault="00933F5F" w:rsidP="00933F5F">
      <w:pPr>
        <w:keepLines/>
        <w:jc w:val="center"/>
        <w:outlineLvl w:val="5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Факультет Санкт-Петербургская школа </w:t>
      </w:r>
      <w:r>
        <w:rPr>
          <w:b/>
          <w:bCs/>
          <w:sz w:val="22"/>
          <w:szCs w:val="22"/>
        </w:rPr>
        <w:t>социальных наук и востоковедения</w:t>
      </w:r>
    </w:p>
    <w:p w14:paraId="31730312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24562EF2" w14:textId="165B5C9E" w:rsidR="00933F5F" w:rsidRPr="00933F5F" w:rsidRDefault="00C775F8" w:rsidP="00C775F8">
      <w:pPr>
        <w:ind w:left="6521" w:firstLine="0"/>
        <w:rPr>
          <w:color w:val="000000"/>
          <w:spacing w:val="-3"/>
          <w:sz w:val="22"/>
          <w:szCs w:val="16"/>
        </w:rPr>
      </w:pPr>
      <w:r>
        <w:rPr>
          <w:color w:val="000000"/>
          <w:spacing w:val="-4"/>
          <w:sz w:val="22"/>
          <w:szCs w:val="16"/>
        </w:rPr>
        <w:t>Утверждены</w:t>
      </w:r>
      <w:r w:rsidR="00933F5F" w:rsidRPr="00933F5F">
        <w:rPr>
          <w:color w:val="000000"/>
          <w:spacing w:val="-4"/>
          <w:sz w:val="22"/>
          <w:szCs w:val="16"/>
        </w:rPr>
        <w:t xml:space="preserve"> С</w:t>
      </w:r>
      <w:r w:rsidR="00933F5F" w:rsidRPr="00933F5F">
        <w:rPr>
          <w:color w:val="000000"/>
          <w:spacing w:val="-3"/>
          <w:sz w:val="22"/>
          <w:szCs w:val="16"/>
        </w:rPr>
        <w:t>оветом факультета</w:t>
      </w:r>
      <w:r w:rsidR="00933F5F">
        <w:rPr>
          <w:color w:val="000000"/>
          <w:spacing w:val="-3"/>
          <w:sz w:val="22"/>
          <w:szCs w:val="16"/>
        </w:rPr>
        <w:br/>
      </w:r>
      <w:r w:rsidR="00933F5F" w:rsidRPr="00933F5F">
        <w:rPr>
          <w:color w:val="000000"/>
          <w:spacing w:val="-3"/>
          <w:sz w:val="22"/>
          <w:szCs w:val="16"/>
        </w:rPr>
        <w:t>Санк</w:t>
      </w:r>
      <w:r w:rsidR="00933F5F">
        <w:rPr>
          <w:color w:val="000000"/>
          <w:spacing w:val="-3"/>
          <w:sz w:val="22"/>
          <w:szCs w:val="16"/>
        </w:rPr>
        <w:t>т</w:t>
      </w:r>
      <w:r w:rsidR="00933F5F" w:rsidRPr="00933F5F">
        <w:rPr>
          <w:color w:val="000000"/>
          <w:spacing w:val="-3"/>
          <w:sz w:val="22"/>
          <w:szCs w:val="16"/>
        </w:rPr>
        <w:t>-Петербургская школа социальных наук и востоковедения</w:t>
      </w:r>
    </w:p>
    <w:p w14:paraId="3236D174" w14:textId="77777777" w:rsidR="007E3D2A" w:rsidRPr="007E3D2A" w:rsidRDefault="00933F5F" w:rsidP="007E3D2A">
      <w:pPr>
        <w:shd w:val="clear" w:color="auto" w:fill="FFFFFF"/>
        <w:tabs>
          <w:tab w:val="left" w:leader="underscore" w:pos="3086"/>
          <w:tab w:val="left" w:leader="underscore" w:pos="5203"/>
        </w:tabs>
        <w:ind w:left="6521" w:firstLine="0"/>
        <w:rPr>
          <w:color w:val="000000"/>
          <w:sz w:val="22"/>
          <w:szCs w:val="16"/>
        </w:rPr>
      </w:pPr>
      <w:r w:rsidRPr="00933F5F">
        <w:rPr>
          <w:color w:val="000000"/>
          <w:sz w:val="22"/>
          <w:szCs w:val="16"/>
        </w:rPr>
        <w:t xml:space="preserve">протокол </w:t>
      </w:r>
      <w:r w:rsidR="007E3D2A" w:rsidRPr="007E3D2A">
        <w:rPr>
          <w:color w:val="000000"/>
          <w:sz w:val="22"/>
          <w:szCs w:val="16"/>
        </w:rPr>
        <w:t xml:space="preserve">№ 01/2018-2019 </w:t>
      </w:r>
    </w:p>
    <w:p w14:paraId="274DBF0B" w14:textId="7C0E302B" w:rsidR="00933F5F" w:rsidRPr="00933F5F" w:rsidRDefault="007E3D2A" w:rsidP="007E3D2A">
      <w:pPr>
        <w:shd w:val="clear" w:color="auto" w:fill="FFFFFF"/>
        <w:tabs>
          <w:tab w:val="left" w:leader="underscore" w:pos="3086"/>
          <w:tab w:val="left" w:leader="underscore" w:pos="5203"/>
        </w:tabs>
        <w:ind w:left="6521" w:firstLine="0"/>
        <w:rPr>
          <w:color w:val="000000"/>
          <w:sz w:val="22"/>
          <w:szCs w:val="16"/>
        </w:rPr>
      </w:pPr>
      <w:r w:rsidRPr="007E3D2A">
        <w:rPr>
          <w:color w:val="000000"/>
          <w:sz w:val="22"/>
          <w:szCs w:val="16"/>
        </w:rPr>
        <w:t>от 30 октября 2018 года</w:t>
      </w:r>
    </w:p>
    <w:p w14:paraId="6CA6DF63" w14:textId="77777777" w:rsidR="00933F5F" w:rsidRPr="00933F5F" w:rsidRDefault="00933F5F" w:rsidP="00C775F8">
      <w:pPr>
        <w:shd w:val="clear" w:color="auto" w:fill="FFFFFF"/>
        <w:tabs>
          <w:tab w:val="left" w:leader="underscore" w:pos="6778"/>
        </w:tabs>
        <w:ind w:left="6521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Председатель</w:t>
      </w:r>
    </w:p>
    <w:p w14:paraId="58D4C35D" w14:textId="03C4C10F" w:rsidR="00933F5F" w:rsidRPr="00933F5F" w:rsidRDefault="00933F5F" w:rsidP="00C775F8">
      <w:pPr>
        <w:shd w:val="clear" w:color="auto" w:fill="FFFFFF"/>
        <w:tabs>
          <w:tab w:val="left" w:leader="underscore" w:pos="6778"/>
        </w:tabs>
        <w:ind w:left="6521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_____________</w:t>
      </w:r>
      <w:r>
        <w:rPr>
          <w:color w:val="000000"/>
          <w:spacing w:val="-4"/>
          <w:sz w:val="22"/>
          <w:szCs w:val="16"/>
        </w:rPr>
        <w:t>А.В. Стародубцев</w:t>
      </w:r>
    </w:p>
    <w:p w14:paraId="3D527074" w14:textId="77777777" w:rsidR="00933F5F" w:rsidRPr="00933F5F" w:rsidRDefault="00933F5F" w:rsidP="00933F5F">
      <w:pPr>
        <w:keepLines/>
        <w:jc w:val="right"/>
        <w:outlineLvl w:val="5"/>
        <w:rPr>
          <w:b/>
          <w:bCs/>
          <w:sz w:val="22"/>
          <w:szCs w:val="22"/>
        </w:rPr>
      </w:pPr>
    </w:p>
    <w:p w14:paraId="1EB0E696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38AD72C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06D5BD3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7E6860E6" w14:textId="21CBD4D4" w:rsidR="00933F5F" w:rsidRPr="00933F5F" w:rsidRDefault="00933F5F" w:rsidP="00E55F59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 xml:space="preserve">Правила подготовки </w:t>
      </w:r>
      <w:r w:rsidR="00E55F59">
        <w:rPr>
          <w:b/>
          <w:sz w:val="22"/>
          <w:szCs w:val="22"/>
        </w:rPr>
        <w:t xml:space="preserve">и защиты </w:t>
      </w:r>
      <w:r w:rsidRPr="00933F5F">
        <w:rPr>
          <w:b/>
          <w:sz w:val="22"/>
          <w:szCs w:val="22"/>
        </w:rPr>
        <w:t>выпускной квалификационной работы</w:t>
      </w:r>
    </w:p>
    <w:p w14:paraId="055A610E" w14:textId="648A78CF" w:rsidR="00933F5F" w:rsidRPr="00933F5F" w:rsidRDefault="00933F5F" w:rsidP="00E55F59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студентов, обучающихся на образовательной программе «</w:t>
      </w:r>
      <w:r w:rsidR="001020F5">
        <w:rPr>
          <w:b/>
          <w:sz w:val="22"/>
          <w:szCs w:val="22"/>
        </w:rPr>
        <w:t>Востоковедение</w:t>
      </w:r>
      <w:r w:rsidRPr="00933F5F">
        <w:rPr>
          <w:b/>
          <w:sz w:val="22"/>
          <w:szCs w:val="22"/>
        </w:rPr>
        <w:t>»,</w:t>
      </w:r>
    </w:p>
    <w:p w14:paraId="7749FAB9" w14:textId="23B0967E" w:rsidR="00933F5F" w:rsidRPr="00933F5F" w:rsidRDefault="00933F5F" w:rsidP="00E55F59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 xml:space="preserve">направления подготовки </w:t>
      </w:r>
      <w:r w:rsidR="00E67A7F" w:rsidRPr="00933F5F">
        <w:rPr>
          <w:b/>
          <w:sz w:val="22"/>
          <w:szCs w:val="22"/>
        </w:rPr>
        <w:t>бакалавров</w:t>
      </w:r>
      <w:r w:rsidR="00E67A7F" w:rsidRPr="001020F5">
        <w:rPr>
          <w:b/>
          <w:bCs/>
          <w:sz w:val="22"/>
          <w:szCs w:val="16"/>
        </w:rPr>
        <w:t xml:space="preserve"> </w:t>
      </w:r>
      <w:r w:rsidR="001020F5" w:rsidRPr="001020F5">
        <w:rPr>
          <w:b/>
          <w:bCs/>
          <w:sz w:val="22"/>
          <w:szCs w:val="16"/>
        </w:rPr>
        <w:t>58.03.01</w:t>
      </w:r>
      <w:r w:rsidR="001020F5" w:rsidRPr="001020F5">
        <w:rPr>
          <w:b/>
          <w:sz w:val="18"/>
          <w:szCs w:val="18"/>
        </w:rPr>
        <w:t xml:space="preserve"> </w:t>
      </w:r>
      <w:r w:rsidRPr="00933F5F">
        <w:rPr>
          <w:b/>
          <w:sz w:val="22"/>
          <w:szCs w:val="22"/>
        </w:rPr>
        <w:t>«</w:t>
      </w:r>
      <w:r w:rsidR="001020F5">
        <w:rPr>
          <w:b/>
          <w:sz w:val="22"/>
          <w:szCs w:val="22"/>
        </w:rPr>
        <w:t>Востоковедение и африканистика</w:t>
      </w:r>
      <w:r w:rsidRPr="00933F5F">
        <w:rPr>
          <w:b/>
          <w:sz w:val="22"/>
          <w:szCs w:val="22"/>
        </w:rPr>
        <w:t>»</w:t>
      </w:r>
    </w:p>
    <w:p w14:paraId="6C248497" w14:textId="77777777" w:rsidR="00933F5F" w:rsidRPr="00933F5F" w:rsidRDefault="00933F5F" w:rsidP="00933F5F">
      <w:pPr>
        <w:rPr>
          <w:b/>
          <w:sz w:val="22"/>
          <w:szCs w:val="22"/>
        </w:rPr>
      </w:pPr>
    </w:p>
    <w:p w14:paraId="4FFF7896" w14:textId="77777777" w:rsidR="00933F5F" w:rsidRPr="00933F5F" w:rsidRDefault="00933F5F" w:rsidP="00933F5F">
      <w:pPr>
        <w:rPr>
          <w:sz w:val="22"/>
          <w:szCs w:val="16"/>
        </w:rPr>
      </w:pPr>
    </w:p>
    <w:p w14:paraId="16C1E358" w14:textId="77777777" w:rsidR="00933F5F" w:rsidRPr="00933F5F" w:rsidRDefault="00933F5F" w:rsidP="00933F5F">
      <w:pPr>
        <w:rPr>
          <w:sz w:val="22"/>
          <w:szCs w:val="16"/>
        </w:rPr>
      </w:pPr>
    </w:p>
    <w:p w14:paraId="273B5A12" w14:textId="77777777" w:rsidR="00933F5F" w:rsidRPr="00933F5F" w:rsidRDefault="00933F5F" w:rsidP="00933F5F">
      <w:pPr>
        <w:rPr>
          <w:sz w:val="22"/>
          <w:szCs w:val="16"/>
        </w:rPr>
      </w:pPr>
    </w:p>
    <w:p w14:paraId="2AFB39BC" w14:textId="77777777" w:rsidR="00933F5F" w:rsidRPr="00933F5F" w:rsidRDefault="00933F5F" w:rsidP="00933F5F">
      <w:pPr>
        <w:rPr>
          <w:sz w:val="22"/>
          <w:szCs w:val="16"/>
        </w:rPr>
      </w:pPr>
    </w:p>
    <w:p w14:paraId="02E2A8EF" w14:textId="77777777" w:rsidR="00933F5F" w:rsidRPr="00933F5F" w:rsidRDefault="00933F5F" w:rsidP="00933F5F">
      <w:pPr>
        <w:rPr>
          <w:sz w:val="22"/>
          <w:szCs w:val="16"/>
        </w:rPr>
      </w:pPr>
    </w:p>
    <w:p w14:paraId="4C777ED0" w14:textId="77777777" w:rsidR="00933F5F" w:rsidRPr="00933F5F" w:rsidRDefault="00933F5F" w:rsidP="00933F5F">
      <w:pPr>
        <w:rPr>
          <w:sz w:val="22"/>
          <w:szCs w:val="16"/>
        </w:rPr>
      </w:pPr>
    </w:p>
    <w:p w14:paraId="1F48CEEE" w14:textId="77777777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 xml:space="preserve">Согласовано </w:t>
      </w:r>
    </w:p>
    <w:p w14:paraId="47373104" w14:textId="77777777" w:rsidR="00933F5F" w:rsidRPr="00933F5F" w:rsidRDefault="00933F5F" w:rsidP="00933F5F">
      <w:pPr>
        <w:rPr>
          <w:sz w:val="22"/>
          <w:szCs w:val="16"/>
        </w:rPr>
      </w:pPr>
    </w:p>
    <w:p w14:paraId="2B6034E8" w14:textId="181E57D3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«</w:t>
      </w:r>
      <w:r w:rsidR="007E3D2A">
        <w:rPr>
          <w:sz w:val="22"/>
          <w:szCs w:val="16"/>
        </w:rPr>
        <w:t>30</w:t>
      </w:r>
      <w:r w:rsidRPr="00933F5F">
        <w:rPr>
          <w:sz w:val="22"/>
          <w:szCs w:val="16"/>
        </w:rPr>
        <w:t xml:space="preserve">» </w:t>
      </w:r>
      <w:r w:rsidR="007E3D2A">
        <w:rPr>
          <w:sz w:val="22"/>
          <w:szCs w:val="16"/>
        </w:rPr>
        <w:t>октября</w:t>
      </w:r>
      <w:bookmarkStart w:id="0" w:name="_GoBack"/>
      <w:bookmarkEnd w:id="0"/>
      <w:r w:rsidRPr="00933F5F">
        <w:rPr>
          <w:sz w:val="22"/>
          <w:szCs w:val="16"/>
        </w:rPr>
        <w:t xml:space="preserve"> 2018 г.</w:t>
      </w:r>
    </w:p>
    <w:p w14:paraId="24DA6294" w14:textId="77777777" w:rsidR="00933F5F" w:rsidRPr="00933F5F" w:rsidRDefault="00933F5F" w:rsidP="00933F5F">
      <w:pPr>
        <w:rPr>
          <w:sz w:val="22"/>
          <w:szCs w:val="16"/>
        </w:rPr>
      </w:pPr>
    </w:p>
    <w:p w14:paraId="69048761" w14:textId="77777777" w:rsidR="00933F5F" w:rsidRPr="00933F5F" w:rsidRDefault="00933F5F" w:rsidP="00933F5F">
      <w:pPr>
        <w:rPr>
          <w:sz w:val="22"/>
          <w:szCs w:val="16"/>
        </w:rPr>
      </w:pPr>
    </w:p>
    <w:p w14:paraId="6DCA763E" w14:textId="56A5AB96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Академический руководитель ОП «</w:t>
      </w:r>
      <w:r>
        <w:rPr>
          <w:sz w:val="22"/>
          <w:szCs w:val="16"/>
        </w:rPr>
        <w:t>Востоковедение</w:t>
      </w:r>
      <w:r w:rsidRPr="00933F5F">
        <w:rPr>
          <w:sz w:val="22"/>
          <w:szCs w:val="16"/>
        </w:rPr>
        <w:t>»</w:t>
      </w:r>
    </w:p>
    <w:p w14:paraId="0B2718D8" w14:textId="77777777" w:rsidR="00933F5F" w:rsidRPr="00933F5F" w:rsidRDefault="00933F5F" w:rsidP="00933F5F">
      <w:pPr>
        <w:rPr>
          <w:sz w:val="22"/>
          <w:szCs w:val="16"/>
          <w:u w:val="single"/>
        </w:rPr>
      </w:pPr>
    </w:p>
    <w:p w14:paraId="75F0D4BB" w14:textId="55396752" w:rsidR="00933F5F" w:rsidRPr="00933F5F" w:rsidRDefault="00933F5F" w:rsidP="00933F5F">
      <w:pPr>
        <w:rPr>
          <w:sz w:val="22"/>
          <w:szCs w:val="16"/>
        </w:rPr>
      </w:pPr>
      <w:r>
        <w:rPr>
          <w:sz w:val="22"/>
          <w:szCs w:val="16"/>
        </w:rPr>
        <w:t>М.Ю. Илюшина</w:t>
      </w:r>
      <w:r w:rsidRPr="00933F5F">
        <w:rPr>
          <w:sz w:val="22"/>
          <w:szCs w:val="16"/>
        </w:rPr>
        <w:t xml:space="preserve">  __________________</w:t>
      </w:r>
    </w:p>
    <w:p w14:paraId="331E07F7" w14:textId="77777777" w:rsidR="00933F5F" w:rsidRPr="00933F5F" w:rsidRDefault="00933F5F" w:rsidP="00933F5F">
      <w:pPr>
        <w:ind w:left="2127"/>
        <w:rPr>
          <w:sz w:val="22"/>
          <w:szCs w:val="16"/>
        </w:rPr>
      </w:pPr>
      <w:r w:rsidRPr="00933F5F">
        <w:rPr>
          <w:sz w:val="22"/>
          <w:szCs w:val="16"/>
        </w:rPr>
        <w:t>подпись</w:t>
      </w:r>
    </w:p>
    <w:p w14:paraId="2224564A" w14:textId="77777777" w:rsidR="00933F5F" w:rsidRPr="00933F5F" w:rsidRDefault="00933F5F" w:rsidP="00933F5F">
      <w:pPr>
        <w:tabs>
          <w:tab w:val="left" w:pos="0"/>
        </w:tabs>
        <w:rPr>
          <w:sz w:val="22"/>
          <w:szCs w:val="16"/>
        </w:rPr>
      </w:pPr>
    </w:p>
    <w:p w14:paraId="1995F071" w14:textId="7DFEA3B8" w:rsidR="001020F5" w:rsidRPr="001020F5" w:rsidRDefault="00933F5F" w:rsidP="001020F5">
      <w:pPr>
        <w:pStyle w:val="a4"/>
        <w:numPr>
          <w:ilvl w:val="0"/>
          <w:numId w:val="17"/>
        </w:numPr>
        <w:jc w:val="left"/>
        <w:rPr>
          <w:b/>
          <w:bCs/>
          <w:color w:val="000000"/>
          <w:szCs w:val="24"/>
        </w:rPr>
      </w:pPr>
      <w:r w:rsidRPr="002F4433">
        <w:br w:type="page"/>
      </w:r>
      <w:r w:rsidR="001020F5" w:rsidRPr="001020F5">
        <w:rPr>
          <w:b/>
          <w:bCs/>
          <w:color w:val="000000"/>
        </w:rPr>
        <w:lastRenderedPageBreak/>
        <w:t>Общие положения.</w:t>
      </w:r>
    </w:p>
    <w:p w14:paraId="7EB62ABD" w14:textId="77777777" w:rsidR="001020F5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</w:p>
    <w:p w14:paraId="34683D5B" w14:textId="71C701B0" w:rsidR="001020F5" w:rsidRPr="00F26FF0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</w:pPr>
      <w:r>
        <w:rPr>
          <w:bCs/>
        </w:rPr>
        <w:tab/>
      </w:r>
      <w:r w:rsidRPr="00F26FF0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(далее - </w:t>
      </w:r>
      <w:r w:rsidRPr="00F26FF0">
        <w:t xml:space="preserve"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</w:t>
      </w:r>
      <w:r w:rsidR="00AE0F96" w:rsidRPr="00AE0F96">
        <w:t>58.03.01 «Востоковедение и африканистика»</w:t>
      </w:r>
      <w:r w:rsidRPr="00F26FF0">
        <w:t xml:space="preserve">, утвержденным Ученым советом Национального исследовательского университета «Высшая школа экономики» от </w:t>
      </w:r>
      <w:r w:rsidR="00C775F8">
        <w:t>23.12.2016 г.</w:t>
      </w:r>
      <w:r w:rsidRPr="00F26FF0">
        <w:t xml:space="preserve">, протокол </w:t>
      </w:r>
      <w:r w:rsidR="00C775F8">
        <w:t>№11</w:t>
      </w:r>
      <w:r w:rsidRPr="00F26FF0">
        <w:t xml:space="preserve"> (далее – «ОС </w:t>
      </w:r>
      <w:r w:rsidR="00AE0F96">
        <w:t>Востоковедение</w:t>
      </w:r>
      <w:r w:rsidRPr="00F26FF0">
        <w:t>»).</w:t>
      </w:r>
    </w:p>
    <w:p w14:paraId="1E069471" w14:textId="77777777" w:rsidR="001020F5" w:rsidRPr="00F26FF0" w:rsidRDefault="001020F5" w:rsidP="001020F5">
      <w:pPr>
        <w:pStyle w:val="16"/>
        <w:numPr>
          <w:ilvl w:val="0"/>
          <w:numId w:val="0"/>
        </w:numPr>
        <w:tabs>
          <w:tab w:val="left" w:pos="0"/>
        </w:tabs>
        <w:spacing w:line="360" w:lineRule="auto"/>
        <w:ind w:left="720"/>
        <w:rPr>
          <w:iCs/>
          <w:szCs w:val="24"/>
        </w:rPr>
      </w:pPr>
    </w:p>
    <w:p w14:paraId="7D79785B" w14:textId="307864B2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ВКР является обязательным элементом образовательной программы, формой научно</w:t>
      </w:r>
      <w:r w:rsidR="00AE0F96">
        <w:rPr>
          <w:iCs/>
          <w:szCs w:val="24"/>
        </w:rPr>
        <w:t>-</w:t>
      </w:r>
      <w:r w:rsidRPr="00F26FF0">
        <w:rPr>
          <w:iCs/>
          <w:szCs w:val="24"/>
        </w:rPr>
        <w:t>исследовательской, проектной работы студента; защита ВКР входит в обязательную часть ГИА.</w:t>
      </w:r>
    </w:p>
    <w:p w14:paraId="220729DA" w14:textId="15BBD39D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К защите выпускной квалификационной работы допускаются лица, представившие в установленный срок выпускную квалификационную работу с отзывом руководителя. Лица, не допущенные к защите выпускной квалификационной работы, отчисляются из НИУ ВШЭ за непрохождение итоговой государственной аттестации.</w:t>
      </w:r>
    </w:p>
    <w:p w14:paraId="00832E99" w14:textId="77777777" w:rsidR="00AE0F96" w:rsidRDefault="00AE0F96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</w:p>
    <w:p w14:paraId="07DD4480" w14:textId="54E3F4B7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Апелляция по результатам итоговых аттестационных испытаний (итоговой государственной</w:t>
      </w:r>
      <w:r w:rsidR="00AE0F96">
        <w:rPr>
          <w:iCs/>
          <w:szCs w:val="24"/>
        </w:rPr>
        <w:t xml:space="preserve"> </w:t>
      </w:r>
      <w:r w:rsidRPr="00F26FF0">
        <w:rPr>
          <w:iCs/>
          <w:szCs w:val="24"/>
        </w:rPr>
        <w:t>аттестации) не допускается.</w:t>
      </w:r>
    </w:p>
    <w:p w14:paraId="0A856C28" w14:textId="0A1D5323" w:rsidR="00EF2662" w:rsidRPr="005F211E" w:rsidRDefault="00EF2662" w:rsidP="00AE0F96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sz w:val="24"/>
          <w:szCs w:val="24"/>
        </w:rPr>
      </w:pPr>
      <w:r w:rsidRPr="005F211E">
        <w:rPr>
          <w:sz w:val="24"/>
          <w:szCs w:val="24"/>
        </w:rPr>
        <w:lastRenderedPageBreak/>
        <w:t>Порядок определения и утверждения темы ВКР и научного руководителя</w:t>
      </w:r>
    </w:p>
    <w:p w14:paraId="1DFAD25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Студент выбирает направление исследования или конкретную тему из числа предложенных преподавателями. Студент обращается к преподавателю Департамента, к</w:t>
      </w:r>
      <w:r w:rsidR="00AE0F96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</w:rPr>
        <w:t>компетенции которого относится выбранное направление исследования или конкретная тема.</w:t>
      </w:r>
    </w:p>
    <w:p w14:paraId="0F4D0E83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Тема ВКР формулируется/корректируется преподавателем и студентом совместно по результатам консультации. </w:t>
      </w:r>
    </w:p>
    <w:p w14:paraId="3B594FA4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случае, если научное руководство превышает запланированную педагогическую нагрузку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преподавателя, студенту может быть рекомендовано обратиться к другому преподавателю или изменить тему ВКР.</w:t>
      </w:r>
    </w:p>
    <w:p w14:paraId="1CFAAEB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Выбор темы должен быть осуществлен обучающимся не позднее 15 сентября текущего учебного года. </w:t>
      </w:r>
    </w:p>
    <w:p w14:paraId="6A19B320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 возникновения затруднений с выбором темы ВКР студент имеет право получить консультации у преподавателей Департамента в их приемные часы.</w:t>
      </w:r>
    </w:p>
    <w:p w14:paraId="174E925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При положительном исходе процесса согласования темы студент получает от руководителя письменное подтверждение на руководство (Приложение 1). Заявление о выборе темы ВКР на имя академического руководителя программы студент подписывает у научного руководителя и сдаёт в учебный офис не позже 1</w:t>
      </w:r>
      <w:r w:rsidR="001431DF" w:rsidRPr="00AE0F96">
        <w:rPr>
          <w:b w:val="0"/>
          <w:i w:val="0"/>
          <w:sz w:val="24"/>
          <w:szCs w:val="24"/>
        </w:rPr>
        <w:t>5</w:t>
      </w:r>
      <w:r w:rsidRPr="00AE0F96">
        <w:rPr>
          <w:b w:val="0"/>
          <w:i w:val="0"/>
          <w:sz w:val="24"/>
          <w:szCs w:val="24"/>
        </w:rPr>
        <w:t xml:space="preserve"> октября.</w:t>
      </w:r>
    </w:p>
    <w:p w14:paraId="661510C9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Студентам, не сумевшим самостоятельно избрать тему ВКР, тема 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0C93C5E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Темы ВКР студентов и курирующие работу студентов научные руководители утверждаются решением Академического совета ОП, что подтверждается Приказом академического руководителя программы. Приказ издается не позднее 15 декабря текущего учебного года. В приказе указываются тема ВКР, руководитель и срок сдачи работы.</w:t>
      </w:r>
    </w:p>
    <w:p w14:paraId="11C3AD2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Изменение (в т.ч. уточнение) темы ВКР возможно на основании личного заявления обучающегося с визой научного руководителя на имя академического руководителя  ОП, не позднее 15 апреля текущего учебного года.  </w:t>
      </w:r>
    </w:p>
    <w:p w14:paraId="7206F40B" w14:textId="4315E097" w:rsidR="00EF2662" w:rsidRPr="00AE0F96" w:rsidRDefault="00EF2662" w:rsidP="00AE0F96">
      <w:pPr>
        <w:pStyle w:val="3"/>
        <w:numPr>
          <w:ilvl w:val="0"/>
          <w:numId w:val="17"/>
        </w:numPr>
        <w:spacing w:before="240" w:after="60" w:line="240" w:lineRule="auto"/>
        <w:jc w:val="left"/>
        <w:rPr>
          <w:b w:val="0"/>
          <w:i w:val="0"/>
          <w:iCs/>
          <w:sz w:val="24"/>
          <w:szCs w:val="24"/>
        </w:rPr>
      </w:pPr>
      <w:r w:rsidRPr="00AE0F96">
        <w:rPr>
          <w:i w:val="0"/>
          <w:iCs/>
          <w:sz w:val="24"/>
          <w:szCs w:val="24"/>
        </w:rPr>
        <w:t>Содержание, структура и объем ВКР</w:t>
      </w:r>
    </w:p>
    <w:p w14:paraId="035A4818" w14:textId="398C8222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ВКР по специализации представляет собой вид учебной и научно-исследовательской   работы студента, обучающегося   по  основной  образовательной программе подготовки бакалавров, проводимой самостоятельно под руководством   преподавателя   по  определенной   теме. </w:t>
      </w:r>
    </w:p>
    <w:p w14:paraId="4B69E072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формирует навыки самостоятельного научного исследования, развивает способность студента анализировать и применять в исследовании теоретические подходы и результаты исследований в определенной научной области (областях), демонстрирует способность к сбору, обработке и анализу эмпирических данных.</w:t>
      </w:r>
    </w:p>
    <w:p w14:paraId="6E1B6B8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Объем ВКР составляет не менее 40000 и не более 70000 знаков. Исключение может быть сделано при предоставлении письменного обоснования необходимости нарушения заданных параметров, согласованным с научным руководителем. В таком случае студент </w:t>
      </w:r>
      <w:r w:rsidRPr="00AE0F96">
        <w:rPr>
          <w:b w:val="0"/>
          <w:i w:val="0"/>
          <w:sz w:val="24"/>
          <w:szCs w:val="24"/>
        </w:rPr>
        <w:lastRenderedPageBreak/>
        <w:t>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5C2E062F" w14:textId="3A930404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Рекомендованное количество источников и исследований, на которых должна быть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основана ВКР, составляет не менее 15 наименований, в том числе не менее 5 наименований на иностранном языке (в том числе не менее 3 наименований на восточных языках). Исключение может быть сделано в случае, если научный руководитель сочтет меньшее количество исследований и источников исчерпывающим для раскрытия темы. В таком случае студент 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1917891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При нарушении норм, указанных в п.п. 4.3 и 4.4, без согласования с научным руководителем за работу не может быть выставлена оценка выше "7" по 10-балльной системе.</w:t>
      </w:r>
    </w:p>
    <w:p w14:paraId="54CDE8C6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Перед началом работы над текстом ВКР студент составляет и согласовывает с научным руководителем список литературы и источников. Вся литература и источники, привлеченные к работе над ВКР, в обязательном порядке должны быть согласованы с научным руководителем. </w:t>
      </w:r>
    </w:p>
    <w:p w14:paraId="78FFCA0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может быть представлена как на русском, так и на английском языках. В случае написания текста работы на английском языке, в процессе защиты ВКР обучающийся должен также представить свою работу ГАК на английском языке.</w:t>
      </w:r>
    </w:p>
    <w:p w14:paraId="1FDC25DF" w14:textId="56F11001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Структура ВКР:</w:t>
      </w:r>
    </w:p>
    <w:p w14:paraId="5BA58F0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Титульный лист;</w:t>
      </w:r>
    </w:p>
    <w:p w14:paraId="796BD0EB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Аннотация на русском языке </w:t>
      </w:r>
    </w:p>
    <w:p w14:paraId="383ACEB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Аннотация на английском языке;</w:t>
      </w:r>
    </w:p>
    <w:p w14:paraId="431837F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Оглавление;</w:t>
      </w:r>
    </w:p>
    <w:p w14:paraId="1326D1A6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Введение; </w:t>
      </w:r>
    </w:p>
    <w:p w14:paraId="53459084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Основная часть, имеющая не менее двух разделов с порядковыми номерами и названиями;</w:t>
      </w:r>
    </w:p>
    <w:p w14:paraId="2EC5EF2C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Заключение; </w:t>
      </w:r>
    </w:p>
    <w:p w14:paraId="7A752EF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Список использованной литературы (в список использованной литературы включаются лишь те источники и исследовательские работы, на которые есть сноски в тексте ВКР.);</w:t>
      </w:r>
    </w:p>
    <w:p w14:paraId="7C96CA15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Приложения (при наличии).</w:t>
      </w:r>
    </w:p>
    <w:p w14:paraId="3FD3959E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Введение должно содержать:</w:t>
      </w:r>
    </w:p>
    <w:p w14:paraId="331FB055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аргументы автора в пользу выбора темы ВКР;</w:t>
      </w:r>
    </w:p>
    <w:p w14:paraId="61BC6FDD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обоснование актуальности темы;</w:t>
      </w:r>
    </w:p>
    <w:p w14:paraId="151C59F7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цели ВКР или исследовательского вопроса («research question»);</w:t>
      </w:r>
    </w:p>
    <w:p w14:paraId="7BB402B0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краткое описание теоретического подхода к изучаемой проблеме (при его наличии);</w:t>
      </w:r>
    </w:p>
    <w:p w14:paraId="43D80F5A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методологические принципы исследования, соответствующие отраслевому или межотраслевому характеру работы;</w:t>
      </w:r>
    </w:p>
    <w:p w14:paraId="52D1BB72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задач ВКР (не менее двух), соответствующих разделам основной части ВКР;</w:t>
      </w:r>
    </w:p>
    <w:p w14:paraId="5310F6C1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характеристику (аналитический обзор) привлекаемых источников, а также теоретических и </w:t>
      </w:r>
      <w:r w:rsidRPr="005F211E">
        <w:rPr>
          <w:szCs w:val="24"/>
        </w:rPr>
        <w:lastRenderedPageBreak/>
        <w:t>эмпирических работ, имеющих отношение к проблеме, исследуемой в ВКР;</w:t>
      </w:r>
    </w:p>
    <w:p w14:paraId="4CD72AFF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описание структуры ВКР с перечислением названий разделов (глав) и их краткой характеристикой.</w:t>
      </w:r>
    </w:p>
    <w:p w14:paraId="75994D27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 Заключении студент подводит итоги работы и делает выводы.</w:t>
      </w:r>
    </w:p>
    <w:p w14:paraId="1531CD2D" w14:textId="65A1E2F1" w:rsidR="00EF2662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Выводы должны соответствовать задачам, сформулированным во Введении. В ряде случаев выводы могут быть сформулированы шире поставленных задач, но не наоборот.</w:t>
      </w:r>
    </w:p>
    <w:p w14:paraId="30017028" w14:textId="0E8C1C7C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</w:t>
      </w:r>
      <w:r w:rsidRPr="005F211E">
        <w:rPr>
          <w:szCs w:val="24"/>
        </w:rPr>
        <w:tab/>
        <w:t>В Заключении должен содержаться аргументированный ответ автора на исследователь-ский вопрос, сформулированный во Введении; оцениваться достижение поставленной во Введении цели исследования.</w:t>
      </w:r>
    </w:p>
    <w:p w14:paraId="302D67DC" w14:textId="7D9F84EB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На основе выводов и обобщающих суждений об актуальности, цели, задачах и результатах исследования должна быть составлена краткая аннотация на русском и английском языках</w:t>
      </w:r>
      <w:r w:rsidR="00036A8F" w:rsidRPr="005F211E">
        <w:rPr>
          <w:szCs w:val="24"/>
        </w:rPr>
        <w:t xml:space="preserve"> (аннотация помещается в начало работы)</w:t>
      </w:r>
      <w:r w:rsidRPr="005F211E">
        <w:rPr>
          <w:szCs w:val="24"/>
        </w:rPr>
        <w:t xml:space="preserve">.  </w:t>
      </w:r>
    </w:p>
    <w:p w14:paraId="3010C290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Стиль изложения. В ВКР необходимо придерживаться принятой в определенной отрасли знания (история, филология, политология и др.)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 </w:t>
      </w:r>
    </w:p>
    <w:p w14:paraId="0E04E4C8" w14:textId="36ED38E5" w:rsidR="00EF2662" w:rsidRPr="0030560E" w:rsidRDefault="00EF2662" w:rsidP="0030560E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bCs/>
          <w:sz w:val="24"/>
          <w:szCs w:val="24"/>
        </w:rPr>
      </w:pPr>
      <w:r w:rsidRPr="0030560E">
        <w:rPr>
          <w:bCs/>
          <w:sz w:val="24"/>
          <w:szCs w:val="24"/>
        </w:rPr>
        <w:t>Оформление ВКР</w:t>
      </w:r>
    </w:p>
    <w:p w14:paraId="193E1AF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 работе следует использовать шрифт </w:t>
      </w:r>
      <w:r w:rsidRPr="005F211E">
        <w:rPr>
          <w:b w:val="0"/>
          <w:i w:val="0"/>
          <w:sz w:val="24"/>
          <w:szCs w:val="24"/>
          <w:lang w:val="en-US"/>
        </w:rPr>
        <w:t>Times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New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Roman</w:t>
      </w:r>
      <w:r w:rsidRPr="005F211E">
        <w:rPr>
          <w:b w:val="0"/>
          <w:i w:val="0"/>
          <w:sz w:val="24"/>
          <w:szCs w:val="24"/>
        </w:rPr>
        <w:t xml:space="preserve">, 14 кегль, 1,5 интервал между строк. </w:t>
      </w:r>
    </w:p>
    <w:p w14:paraId="6CC8BD1A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Цитаты в основном тексте должны быть оформлены кавычками и ссылкой на источник.</w:t>
      </w:r>
    </w:p>
    <w:p w14:paraId="3D33992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Не рекомендуется использование прямых цитат, превышающих 400 знаков. Общий объём прямых цитат не должен превышать 5% текста ВКР.</w:t>
      </w:r>
    </w:p>
    <w:p w14:paraId="5B803109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</w:p>
    <w:p w14:paraId="15B843B7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Из текста работы должно быть понятно, где излагаются мысли автора реферируемого материала, а где – собственные суждения автора ВКР.</w:t>
      </w:r>
    </w:p>
    <w:p w14:paraId="4489EBB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Все иллюстрации в тексте ВКР (фотографии, карты, схемы, графики, диаграммы) должны быть пронумерованы и подписаны – например, Рис.1. Территориальные споры в Южно-Китайском море. При использовании заимствованного иллюстративного материала в обязательном порядке указывается источник заимствования.</w:t>
      </w:r>
    </w:p>
    <w:p w14:paraId="24B9DC11" w14:textId="37AB5FE0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 xml:space="preserve">Оформление списка использованной литературы, как и ссылок при цитатах в основном тексте, должно быть выполнено по следующему образцу: </w:t>
      </w:r>
    </w:p>
    <w:p w14:paraId="093C480E" w14:textId="77777777" w:rsidR="00EF2662" w:rsidRPr="005F211E" w:rsidRDefault="00EF2662" w:rsidP="00EF2662">
      <w:pPr>
        <w:pStyle w:val="affffe"/>
        <w:spacing w:line="323" w:lineRule="atLeast"/>
        <w:ind w:left="786"/>
        <w:rPr>
          <w:b/>
          <w:bCs/>
        </w:rPr>
      </w:pPr>
      <w:r w:rsidRPr="005F211E">
        <w:rPr>
          <w:b/>
          <w:bCs/>
        </w:rPr>
        <w:t>Монография, написанная одним автором:  </w:t>
      </w:r>
    </w:p>
    <w:p w14:paraId="68A4E65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Беляев Е.А. Арабы, ислам и Арабский Халифат в раннем средневековье. М.: Наука, 1966.</w:t>
      </w:r>
    </w:p>
    <w:p w14:paraId="1924E28F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37144AB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Зеленев Е.И. Мусульманский Египет. СПб.: Изд-во Санкт-Петербургского университета, 2007.</w:t>
      </w:r>
    </w:p>
    <w:p w14:paraId="2082FBE4" w14:textId="223D3BB8" w:rsidR="00EF2662" w:rsidRPr="001431DF" w:rsidRDefault="00EF2662" w:rsidP="00EF2662">
      <w:pPr>
        <w:pStyle w:val="affffe"/>
        <w:spacing w:line="455" w:lineRule="atLeast"/>
        <w:ind w:left="720"/>
        <w:jc w:val="both"/>
        <w:rPr>
          <w:b/>
        </w:rPr>
      </w:pPr>
      <w:r w:rsidRPr="001431DF">
        <w:rPr>
          <w:b/>
        </w:rPr>
        <w:t>На английском языке</w:t>
      </w:r>
      <w:r w:rsidR="00E74004" w:rsidRPr="001431DF">
        <w:rPr>
          <w:b/>
        </w:rPr>
        <w:t xml:space="preserve"> и других европейских языках</w:t>
      </w:r>
      <w:r w:rsidRPr="001431DF">
        <w:rPr>
          <w:b/>
        </w:rPr>
        <w:t>:</w:t>
      </w:r>
    </w:p>
    <w:p w14:paraId="5C061026" w14:textId="77777777" w:rsidR="00EF2662" w:rsidRPr="001431DF" w:rsidRDefault="00EF2662" w:rsidP="00D92792">
      <w:pPr>
        <w:numPr>
          <w:ilvl w:val="0"/>
          <w:numId w:val="19"/>
        </w:numPr>
        <w:suppressAutoHyphens/>
        <w:spacing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6FA67617" w14:textId="3E4FFAAC" w:rsidR="00EF2662" w:rsidRPr="001431DF" w:rsidRDefault="00EF2662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488DD4E2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b/>
          <w:bCs/>
          <w:color w:val="000000"/>
          <w:sz w:val="24"/>
          <w:szCs w:val="24"/>
        </w:rPr>
      </w:pPr>
      <w:r w:rsidRPr="001431DF">
        <w:rPr>
          <w:b/>
          <w:bCs/>
          <w:color w:val="000000"/>
          <w:sz w:val="24"/>
          <w:szCs w:val="24"/>
        </w:rPr>
        <w:t>На восточных языках:</w:t>
      </w:r>
    </w:p>
    <w:p w14:paraId="1D505C5F" w14:textId="63A647EC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</w:rPr>
        <w:t>При оформлении сносок на литературу на восточных языках, использующих не</w:t>
      </w:r>
      <w:r w:rsidR="0094038D" w:rsidRPr="001431DF">
        <w:rPr>
          <w:color w:val="000000"/>
          <w:sz w:val="24"/>
          <w:szCs w:val="24"/>
        </w:rPr>
        <w:t>латинские</w:t>
      </w:r>
      <w:r w:rsidRPr="001431DF">
        <w:rPr>
          <w:color w:val="000000"/>
          <w:sz w:val="24"/>
          <w:szCs w:val="24"/>
        </w:rPr>
        <w:t xml:space="preserve"> письменности, необходимо приводить общепринятую транслитерацию (например, транскрипцию Палладия для китайского языка</w:t>
      </w:r>
      <w:r w:rsidR="0094038D" w:rsidRPr="001431DF">
        <w:rPr>
          <w:color w:val="000000"/>
          <w:sz w:val="24"/>
          <w:szCs w:val="24"/>
        </w:rPr>
        <w:t xml:space="preserve"> или систему Крачковского для арабского языка</w:t>
      </w:r>
      <w:r w:rsidRPr="001431DF">
        <w:rPr>
          <w:color w:val="000000"/>
          <w:sz w:val="24"/>
          <w:szCs w:val="24"/>
        </w:rPr>
        <w:t xml:space="preserve">). Это касается и слов на восточных языках в тексте работы. </w:t>
      </w:r>
      <w:r w:rsidRPr="001431DF">
        <w:rPr>
          <w:color w:val="000000"/>
          <w:sz w:val="24"/>
          <w:szCs w:val="24"/>
          <w:lang w:val="en-US"/>
        </w:rPr>
        <w:t>Кроме этого, необходим перевод на русский язык:</w:t>
      </w:r>
    </w:p>
    <w:p w14:paraId="18CF7AFA" w14:textId="5607BC81" w:rsidR="00D7676A" w:rsidRPr="001431DF" w:rsidRDefault="00D7676A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Al-Khumayyis Muḥammad b. ‘Abd al-Raḥman. Naẓharāt wa Ta’ammulāt  min Wāqi‘ al-Ḥayāt [Размышления о реальности жизни]. Al-Qāhira: Maktaba al-Tābi‘īn, 1998</w:t>
      </w:r>
    </w:p>
    <w:p w14:paraId="45014F21" w14:textId="77777777" w:rsidR="00D7676A" w:rsidRPr="001431DF" w:rsidRDefault="00D7676A" w:rsidP="00D7676A">
      <w:pPr>
        <w:pStyle w:val="a4"/>
        <w:numPr>
          <w:ilvl w:val="0"/>
          <w:numId w:val="19"/>
        </w:numPr>
        <w:rPr>
          <w:color w:val="000000"/>
          <w:szCs w:val="24"/>
          <w:lang w:val="en-US"/>
        </w:rPr>
      </w:pPr>
      <w:r w:rsidRPr="00C775F8">
        <w:rPr>
          <w:color w:val="000000"/>
          <w:szCs w:val="24"/>
        </w:rPr>
        <w:t xml:space="preserve">Ло, Эрган </w:t>
      </w:r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罗尔纲</w:t>
      </w:r>
      <w:r w:rsidRPr="00C775F8">
        <w:rPr>
          <w:color w:val="000000"/>
          <w:szCs w:val="24"/>
        </w:rPr>
        <w:t xml:space="preserve"> (1939) Сянцзюнь синьчжи </w:t>
      </w:r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湘军新志</w:t>
      </w:r>
      <w:r w:rsidRPr="00C775F8">
        <w:rPr>
          <w:color w:val="000000"/>
          <w:szCs w:val="24"/>
        </w:rPr>
        <w:t xml:space="preserve"> [Новый трактат о армии Сян]. </w:t>
      </w:r>
      <w:r w:rsidRPr="001431DF">
        <w:rPr>
          <w:color w:val="000000"/>
          <w:szCs w:val="24"/>
          <w:lang w:val="en-US"/>
        </w:rPr>
        <w:t>Чанша: Шанъу ишугуань.</w:t>
      </w:r>
    </w:p>
    <w:p w14:paraId="01D77670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</w:p>
    <w:p w14:paraId="600D4CF6" w14:textId="6BE792F2" w:rsidR="00EF2662" w:rsidRPr="005F211E" w:rsidRDefault="00E74004" w:rsidP="00D7676A">
      <w:pPr>
        <w:pStyle w:val="a4"/>
        <w:numPr>
          <w:ilvl w:val="0"/>
          <w:numId w:val="0"/>
        </w:numPr>
        <w:suppressAutoHyphens/>
        <w:spacing w:after="160" w:line="323" w:lineRule="atLeast"/>
        <w:ind w:left="720"/>
      </w:pPr>
      <w:r w:rsidRPr="001431DF">
        <w:rPr>
          <w:color w:val="000000"/>
          <w:szCs w:val="24"/>
        </w:rPr>
        <w:t xml:space="preserve">    </w:t>
      </w:r>
      <w:r w:rsidR="00EF2662" w:rsidRPr="001431DF">
        <w:rPr>
          <w:b/>
          <w:bCs/>
        </w:rPr>
        <w:t>Многотомное издание работ одного</w:t>
      </w:r>
      <w:r w:rsidR="00EF2662" w:rsidRPr="00D7676A">
        <w:rPr>
          <w:b/>
          <w:bCs/>
        </w:rPr>
        <w:t xml:space="preserve"> автора:</w:t>
      </w:r>
    </w:p>
    <w:p w14:paraId="794E55E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jc w:val="both"/>
      </w:pPr>
      <w:r w:rsidRPr="005F211E">
        <w:t xml:space="preserve">Бартольд В. В. Собрание сочинений в 9 томах. М.: Наука, </w:t>
      </w:r>
      <w:r w:rsidRPr="005F211E">
        <w:rPr>
          <w:rStyle w:val="wmi-callto"/>
        </w:rPr>
        <w:t>1963</w:t>
      </w:r>
      <w:r w:rsidRPr="005F211E">
        <w:rPr>
          <w:color w:val="000000"/>
          <w:shd w:val="clear" w:color="auto" w:fill="FFFFFF"/>
        </w:rPr>
        <w:t>–</w:t>
      </w:r>
      <w:r w:rsidRPr="005F211E">
        <w:rPr>
          <w:rStyle w:val="wmi-callto"/>
        </w:rPr>
        <w:t>1977</w:t>
      </w:r>
      <w:r w:rsidRPr="005F211E">
        <w:t>.</w:t>
      </w:r>
    </w:p>
    <w:p w14:paraId="4D426545" w14:textId="77777777" w:rsidR="00EF2662" w:rsidRPr="005F211E" w:rsidRDefault="00EF2662" w:rsidP="00EF2662">
      <w:pPr>
        <w:pStyle w:val="affffe"/>
        <w:spacing w:line="323" w:lineRule="atLeast"/>
        <w:ind w:left="720"/>
        <w:jc w:val="both"/>
      </w:pPr>
      <w:r w:rsidRPr="005F211E">
        <w:rPr>
          <w:b/>
        </w:rPr>
        <w:t>Один том из м</w:t>
      </w:r>
      <w:r w:rsidRPr="005F211E">
        <w:rPr>
          <w:b/>
          <w:bCs/>
        </w:rPr>
        <w:t>ноготомного издания работ одного автора: </w:t>
      </w:r>
    </w:p>
    <w:p w14:paraId="0733E6B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rPr>
          <w:b/>
        </w:rPr>
      </w:pPr>
      <w:r w:rsidRPr="005F211E">
        <w:t xml:space="preserve">Бартольд В. В. Работы по истории ислама и Арабского Халифата. Том 6.// В.В. Бартольд. Собрание сочинений в 9 томах. М.: Наука, 1966. </w:t>
      </w:r>
      <w:r w:rsidRPr="005F211E">
        <w:rPr>
          <w:lang w:val="en-US"/>
        </w:rPr>
        <w:t>C</w:t>
      </w:r>
      <w:r w:rsidRPr="005F211E">
        <w:t>. 658</w:t>
      </w:r>
      <w:r w:rsidRPr="005F211E">
        <w:rPr>
          <w:color w:val="000000"/>
          <w:shd w:val="clear" w:color="auto" w:fill="FFFFFF"/>
        </w:rPr>
        <w:t>–763</w:t>
      </w:r>
      <w:r w:rsidRPr="005F211E">
        <w:t xml:space="preserve">.  - </w:t>
      </w:r>
      <w:r w:rsidRPr="005F211E">
        <w:rPr>
          <w:b/>
        </w:rPr>
        <w:t>указание на отдельную работу в собрании сочинений. </w:t>
      </w:r>
    </w:p>
    <w:p w14:paraId="6D264AAC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коллективом авторов (до 3х авторов) </w:t>
      </w:r>
    </w:p>
    <w:p w14:paraId="710BAD08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Фроянов И.Я., Дворниченко А.Ю. Города-государства Древней Руси. Л.: Изд-во Ленингр. ун-та, 1988.</w:t>
      </w:r>
    </w:p>
    <w:p w14:paraId="67F9F22E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большим коллективом - о</w:t>
      </w:r>
      <w:r w:rsidRPr="005F211E">
        <w:rPr>
          <w:b/>
          <w:bCs/>
          <w:iCs/>
        </w:rPr>
        <w:t>писание книги начинается с заглавия, если она написана четырьмя и более авторами:</w:t>
      </w:r>
    </w:p>
    <w:p w14:paraId="7ACCCCA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Концепции современного востоковедения. Отв. ред. Е.И. Зеленев и В.Б. Касевич. СПб.: КАРО, 2013.</w:t>
      </w:r>
    </w:p>
    <w:p w14:paraId="1DD47C9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rStyle w:val="apple-converted-space"/>
          <w:b/>
          <w:bCs/>
        </w:rPr>
      </w:pPr>
      <w:r w:rsidRPr="005F211E">
        <w:t>Мусульманский мир (950 — 1150). Сборник статей. Отв. ред. В.В. Наумкин и М.Б. Пиотровский. М., 1981.</w:t>
      </w:r>
    </w:p>
    <w:p w14:paraId="7BBB5BE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rStyle w:val="apple-converted-space"/>
          <w:b/>
          <w:bCs/>
        </w:rPr>
      </w:pPr>
      <w:r w:rsidRPr="005F211E">
        <w:rPr>
          <w:rStyle w:val="apple-converted-space"/>
          <w:b/>
          <w:bCs/>
        </w:rPr>
        <w:t>На английском языке:</w:t>
      </w:r>
    </w:p>
    <w:p w14:paraId="5DC0B01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rStyle w:val="affff9"/>
        </w:rPr>
      </w:pPr>
      <w:r w:rsidRPr="005F211E">
        <w:rPr>
          <w:color w:val="000000"/>
          <w:lang w:val="en-US"/>
        </w:rPr>
        <w:t xml:space="preserve"> Values in global administrative law./ </w:t>
      </w:r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>d. by G. Anthony [et al.]. Oxford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Portland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Oregon</w:t>
      </w:r>
      <w:r w:rsidRPr="005F211E">
        <w:rPr>
          <w:color w:val="000000"/>
        </w:rPr>
        <w:t xml:space="preserve">: </w:t>
      </w:r>
      <w:r w:rsidRPr="005F211E">
        <w:rPr>
          <w:color w:val="000000"/>
          <w:lang w:val="en-US"/>
        </w:rPr>
        <w:t>Hart</w:t>
      </w:r>
      <w:r w:rsidRPr="005F211E">
        <w:rPr>
          <w:color w:val="000000"/>
        </w:rPr>
        <w:t xml:space="preserve"> </w:t>
      </w:r>
      <w:r w:rsidRPr="005F211E">
        <w:rPr>
          <w:color w:val="000000"/>
          <w:lang w:val="en-US"/>
        </w:rPr>
        <w:t>Publ</w:t>
      </w:r>
      <w:r w:rsidRPr="005F211E">
        <w:rPr>
          <w:color w:val="000000"/>
        </w:rPr>
        <w:t>., 2011.</w:t>
      </w:r>
      <w:r w:rsidRPr="005F211E">
        <w:rPr>
          <w:rStyle w:val="affff9"/>
          <w:color w:val="000000"/>
        </w:rPr>
        <w:t>- коллективная монография под общей редакцией одного автора.</w:t>
      </w:r>
    </w:p>
    <w:p w14:paraId="443024D1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ind w:left="714" w:hanging="357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>Jervis R</w:t>
      </w:r>
      <w:r w:rsidRPr="005F211E">
        <w:rPr>
          <w:rStyle w:val="affff5"/>
          <w:i w:val="0"/>
          <w:color w:val="000000"/>
          <w:sz w:val="24"/>
          <w:szCs w:val="24"/>
          <w:lang w:val="en-US"/>
        </w:rPr>
        <w:t>.</w:t>
      </w:r>
      <w:r w:rsidRPr="005F211E">
        <w:rPr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Cambridge</w:t>
      </w:r>
      <w:r w:rsidRPr="005F211E">
        <w:rPr>
          <w:color w:val="000000"/>
          <w:sz w:val="24"/>
          <w:szCs w:val="24"/>
        </w:rPr>
        <w:t xml:space="preserve">; </w:t>
      </w:r>
      <w:r w:rsidRPr="005F211E">
        <w:rPr>
          <w:color w:val="000000"/>
          <w:sz w:val="24"/>
          <w:szCs w:val="24"/>
          <w:lang w:val="en-US"/>
        </w:rPr>
        <w:t>London</w:t>
      </w:r>
      <w:r w:rsidRPr="005F211E">
        <w:rPr>
          <w:color w:val="000000"/>
          <w:sz w:val="24"/>
          <w:szCs w:val="24"/>
        </w:rPr>
        <w:t xml:space="preserve">: </w:t>
      </w:r>
      <w:r w:rsidRPr="005F211E">
        <w:rPr>
          <w:color w:val="000000"/>
          <w:sz w:val="24"/>
          <w:szCs w:val="24"/>
          <w:lang w:val="en-US"/>
        </w:rPr>
        <w:t>MIT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color w:val="000000"/>
          <w:sz w:val="24"/>
          <w:szCs w:val="24"/>
          <w:lang w:val="en-US"/>
        </w:rPr>
        <w:t>Press</w:t>
      </w:r>
      <w:r w:rsidRPr="005F211E">
        <w:rPr>
          <w:color w:val="000000"/>
          <w:sz w:val="24"/>
          <w:szCs w:val="24"/>
        </w:rPr>
        <w:t xml:space="preserve">, 2003. </w:t>
      </w:r>
      <w:r w:rsidRPr="005F211E">
        <w:rPr>
          <w:color w:val="000000"/>
          <w:sz w:val="24"/>
          <w:szCs w:val="24"/>
          <w:lang w:val="en-US"/>
        </w:rPr>
        <w:t>P</w:t>
      </w:r>
      <w:r w:rsidRPr="005F211E">
        <w:rPr>
          <w:color w:val="000000"/>
          <w:sz w:val="24"/>
          <w:szCs w:val="24"/>
        </w:rPr>
        <w:t>р. 277–310.</w:t>
      </w:r>
      <w:r w:rsidRPr="005F211E">
        <w:rPr>
          <w:rStyle w:val="affff9"/>
          <w:color w:val="000000"/>
          <w:sz w:val="24"/>
          <w:szCs w:val="24"/>
          <w:shd w:val="clear" w:color="auto" w:fill="FFFFFF"/>
        </w:rPr>
        <w:t xml:space="preserve"> – глава в коллективной монографии.</w:t>
      </w:r>
    </w:p>
    <w:p w14:paraId="06014430" w14:textId="77777777" w:rsidR="00EF2662" w:rsidRPr="005F211E" w:rsidRDefault="00EF2662" w:rsidP="00EF2662">
      <w:pPr>
        <w:pStyle w:val="affffe"/>
        <w:spacing w:line="276" w:lineRule="auto"/>
        <w:ind w:left="360" w:firstLine="360"/>
        <w:jc w:val="both"/>
      </w:pPr>
      <w:r w:rsidRPr="005F211E">
        <w:rPr>
          <w:b/>
          <w:bCs/>
        </w:rPr>
        <w:t>Том, статья, раздел в книге, учебном пособии, сборнике</w:t>
      </w:r>
      <w:r w:rsidRPr="005F211E">
        <w:rPr>
          <w:b/>
          <w:bCs/>
          <w:iCs/>
        </w:rPr>
        <w:t>:</w:t>
      </w:r>
    </w:p>
    <w:p w14:paraId="79A1AC3E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Рейснер Л.М. История всемирной литературы: взгляд востоковеда.// Концепции современного востоковедения. Отв. ред. Е.И. Зеленев и В.Б. Касевич. СПб.: КАРО, 2013. С.72</w:t>
      </w:r>
      <w:r w:rsidRPr="005F211E">
        <w:rPr>
          <w:color w:val="000000"/>
          <w:shd w:val="clear" w:color="auto" w:fill="FFFFFF"/>
        </w:rPr>
        <w:t>–</w:t>
      </w:r>
      <w:r w:rsidRPr="005F211E">
        <w:t>78.</w:t>
      </w:r>
    </w:p>
    <w:p w14:paraId="4A59B95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Подласый И.П. Теоретическая педагогика Т. 1.// И.П. Подласый. Педагогика. В 2 т.: учебник для бакалавров. М.: Юрайт, 2013. С. 259</w:t>
      </w:r>
      <w:r w:rsidRPr="005F211E">
        <w:rPr>
          <w:color w:val="000000"/>
          <w:shd w:val="clear" w:color="auto" w:fill="FFFFFF"/>
          <w:lang w:val="en-US"/>
        </w:rPr>
        <w:t>–</w:t>
      </w:r>
      <w:r w:rsidRPr="005F211E">
        <w:rPr>
          <w:color w:val="000000"/>
          <w:shd w:val="clear" w:color="auto" w:fill="FFFFFF"/>
        </w:rPr>
        <w:t>320</w:t>
      </w:r>
      <w:r w:rsidRPr="005F211E">
        <w:t>.</w:t>
      </w:r>
    </w:p>
    <w:p w14:paraId="6F271664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>На английском языке:</w:t>
      </w:r>
    </w:p>
    <w:p w14:paraId="4992DC7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  <w:bCs/>
          <w:lang w:val="en-US"/>
        </w:rPr>
      </w:pPr>
      <w:r w:rsidRPr="005F211E">
        <w:rPr>
          <w:color w:val="000000"/>
          <w:lang w:val="en-US"/>
        </w:rPr>
        <w:t xml:space="preserve">Political philosophy in the twenty-first century: essential essays / </w:t>
      </w:r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 xml:space="preserve">d.: S.M. Cahn, R.B. Talisse. Boulder: Westview Press, 2013. VII. – </w:t>
      </w:r>
      <w:r w:rsidRPr="005F211E">
        <w:rPr>
          <w:b/>
          <w:color w:val="000000"/>
        </w:rPr>
        <w:t>сборник</w:t>
      </w:r>
      <w:r w:rsidRPr="005F211E">
        <w:rPr>
          <w:b/>
          <w:color w:val="000000"/>
          <w:lang w:val="en-US"/>
        </w:rPr>
        <w:t xml:space="preserve"> </w:t>
      </w:r>
      <w:r w:rsidRPr="005F211E">
        <w:rPr>
          <w:b/>
          <w:color w:val="000000"/>
        </w:rPr>
        <w:t>статей</w:t>
      </w:r>
      <w:r w:rsidRPr="005F211E">
        <w:rPr>
          <w:color w:val="000000"/>
          <w:lang w:val="en-US"/>
        </w:rPr>
        <w:t>.</w:t>
      </w:r>
    </w:p>
    <w:p w14:paraId="22215917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Crane M. T. Analogy, metaphor, and the new science / M. T. Crane // Introduction to cognitive cultural studies / ed. L. Zunshine. Baltimore, 2010. P</w:t>
      </w:r>
      <w:r w:rsidRPr="005F211E">
        <w:rPr>
          <w:color w:val="000000"/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 xml:space="preserve">. 103–114. – </w:t>
      </w:r>
      <w:r w:rsidRPr="005F211E">
        <w:rPr>
          <w:b/>
          <w:color w:val="000000"/>
          <w:sz w:val="24"/>
          <w:szCs w:val="24"/>
        </w:rPr>
        <w:t>с</w:t>
      </w:r>
      <w:r w:rsidRPr="005F211E">
        <w:rPr>
          <w:rStyle w:val="affff9"/>
          <w:color w:val="000000"/>
          <w:sz w:val="24"/>
          <w:szCs w:val="24"/>
        </w:rPr>
        <w:t>татья из сборника</w:t>
      </w:r>
      <w:r w:rsidRPr="005F211E">
        <w:rPr>
          <w:rStyle w:val="affff9"/>
          <w:color w:val="000000"/>
          <w:sz w:val="24"/>
          <w:szCs w:val="24"/>
          <w:lang w:val="en-US"/>
        </w:rPr>
        <w:t>.</w:t>
      </w:r>
    </w:p>
    <w:p w14:paraId="74638B3D" w14:textId="77777777" w:rsidR="00EF2662" w:rsidRPr="00E55F59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>Encyclopedia of social work: in 4 vol. / ed.: L. E. Davis, T. Mizrahi. Oxford: Oxdord Univ. Press, 2011. Vol</w:t>
      </w:r>
      <w:r w:rsidRPr="00E55F59">
        <w:rPr>
          <w:color w:val="000000"/>
          <w:sz w:val="24"/>
          <w:szCs w:val="24"/>
        </w:rPr>
        <w:t xml:space="preserve">. 4: </w:t>
      </w:r>
      <w:r w:rsidRPr="005F211E">
        <w:rPr>
          <w:color w:val="000000"/>
          <w:sz w:val="24"/>
          <w:szCs w:val="24"/>
          <w:lang w:val="en-US"/>
        </w:rPr>
        <w:t>S</w:t>
      </w:r>
      <w:r w:rsidRPr="00E55F59">
        <w:rPr>
          <w:color w:val="000000"/>
          <w:sz w:val="24"/>
          <w:szCs w:val="24"/>
        </w:rPr>
        <w:t>–</w:t>
      </w:r>
      <w:r w:rsidRPr="005F211E">
        <w:rPr>
          <w:color w:val="000000"/>
          <w:sz w:val="24"/>
          <w:szCs w:val="24"/>
          <w:lang w:val="en-US"/>
        </w:rPr>
        <w:t>Y</w:t>
      </w:r>
      <w:r w:rsidRPr="00E55F59">
        <w:rPr>
          <w:color w:val="000000"/>
          <w:sz w:val="24"/>
          <w:szCs w:val="24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biographies</w:t>
      </w:r>
      <w:r w:rsidRPr="00E55F59">
        <w:rPr>
          <w:color w:val="000000"/>
          <w:sz w:val="24"/>
          <w:szCs w:val="24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index</w:t>
      </w:r>
      <w:r w:rsidRPr="00E55F59">
        <w:rPr>
          <w:color w:val="000000"/>
          <w:sz w:val="24"/>
          <w:szCs w:val="24"/>
        </w:rPr>
        <w:t xml:space="preserve">. – </w:t>
      </w:r>
      <w:r w:rsidRPr="005F211E">
        <w:rPr>
          <w:b/>
          <w:color w:val="000000"/>
          <w:sz w:val="24"/>
          <w:szCs w:val="24"/>
        </w:rPr>
        <w:t>от</w:t>
      </w:r>
      <w:r w:rsidRPr="005F211E">
        <w:rPr>
          <w:rStyle w:val="affff9"/>
          <w:color w:val="000000"/>
          <w:sz w:val="24"/>
          <w:szCs w:val="24"/>
        </w:rPr>
        <w:t>дельный</w:t>
      </w:r>
      <w:r w:rsidRPr="00E55F59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том</w:t>
      </w:r>
      <w:r w:rsidRPr="00E55F59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в</w:t>
      </w:r>
      <w:r w:rsidRPr="00E55F59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многотомном</w:t>
      </w:r>
      <w:r w:rsidRPr="00E55F59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издании</w:t>
      </w:r>
      <w:r w:rsidRPr="00E55F59">
        <w:rPr>
          <w:rStyle w:val="affff9"/>
          <w:color w:val="000000"/>
          <w:sz w:val="24"/>
          <w:szCs w:val="24"/>
        </w:rPr>
        <w:t xml:space="preserve"> (</w:t>
      </w:r>
      <w:r w:rsidRPr="005F211E">
        <w:rPr>
          <w:rStyle w:val="affff9"/>
          <w:color w:val="000000"/>
          <w:sz w:val="24"/>
          <w:szCs w:val="24"/>
        </w:rPr>
        <w:t>энциклопедии</w:t>
      </w:r>
      <w:r w:rsidRPr="00E55F59">
        <w:rPr>
          <w:rStyle w:val="affff9"/>
          <w:color w:val="000000"/>
          <w:sz w:val="24"/>
          <w:szCs w:val="24"/>
        </w:rPr>
        <w:t>).</w:t>
      </w:r>
    </w:p>
    <w:p w14:paraId="29E192BB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 xml:space="preserve">Материалы конференции </w:t>
      </w:r>
    </w:p>
    <w:p w14:paraId="4DC6D53E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</w:rPr>
        <w:t>По названию конференции, без указания автора и названия тезисов:</w:t>
      </w:r>
    </w:p>
    <w:p w14:paraId="5FEF8609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</w:rPr>
      </w:pPr>
      <w:r w:rsidRPr="005F211E">
        <w:t>Модернизация отраслевой производственной инфраструктуры: материалы всероссийской науч.-практ. конф., Кострома, 25</w:t>
      </w:r>
      <w:r w:rsidRPr="005F211E">
        <w:rPr>
          <w:b/>
          <w:color w:val="000000"/>
        </w:rPr>
        <w:t>-</w:t>
      </w:r>
      <w:r w:rsidRPr="005F211E">
        <w:t>26 мая 2012 г. //</w:t>
      </w:r>
      <w:r w:rsidRPr="005F211E">
        <w:rPr>
          <w:rStyle w:val="apple-converted-space"/>
        </w:rPr>
        <w:t xml:space="preserve"> </w:t>
      </w:r>
      <w:r w:rsidRPr="005F211E">
        <w:t>М-во образования и науки РФ,</w:t>
      </w:r>
      <w:r w:rsidRPr="005F211E">
        <w:rPr>
          <w:rStyle w:val="apple-converted-space"/>
        </w:rPr>
        <w:t xml:space="preserve"> </w:t>
      </w:r>
      <w:r w:rsidRPr="005F211E">
        <w:t>Костромской гос. ун-т им. Н.А. Некрасова;</w:t>
      </w:r>
      <w:r w:rsidRPr="005F211E">
        <w:rPr>
          <w:rStyle w:val="apple-converted-space"/>
        </w:rPr>
        <w:t xml:space="preserve"> </w:t>
      </w:r>
      <w:r w:rsidRPr="005F211E">
        <w:t>общ. ред. Г.М. Травина. Кострома.: КГУ, 2012.</w:t>
      </w:r>
    </w:p>
    <w:p w14:paraId="02F5F14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Модернизация дирижерско-хоровой подготовки учителя музыки в системе профессионального образования : материалы II междунар. науч.-практ. конф., 24</w:t>
      </w:r>
      <w:r w:rsidRPr="005F211E">
        <w:rPr>
          <w:b/>
          <w:color w:val="000000"/>
        </w:rPr>
        <w:t>-</w:t>
      </w:r>
      <w:r w:rsidRPr="005F211E">
        <w:t xml:space="preserve">25 сент. 2005 г. </w:t>
      </w:r>
      <w:r w:rsidRPr="005F211E">
        <w:rPr>
          <w:rStyle w:val="affff9"/>
        </w:rPr>
        <w:t>/ Таганрог. гос. пед. ин-т; под. ред. М.В. Кревсун</w:t>
      </w:r>
      <w:r w:rsidRPr="005F211E">
        <w:rPr>
          <w:b/>
          <w:bCs/>
        </w:rPr>
        <w:t>.</w:t>
      </w:r>
      <w:r w:rsidRPr="005F211E">
        <w:t xml:space="preserve"> – Таганрог: Изд-во Таганрог. гос. пед. ин-та, 2005.</w:t>
      </w:r>
    </w:p>
    <w:p w14:paraId="3036A4E9" w14:textId="77777777" w:rsidR="00EF2662" w:rsidRPr="005F211E" w:rsidRDefault="00EF2662" w:rsidP="00EF2662">
      <w:pPr>
        <w:spacing w:line="276" w:lineRule="auto"/>
        <w:ind w:left="720"/>
        <w:rPr>
          <w:rStyle w:val="nowrap"/>
          <w:b/>
          <w:sz w:val="24"/>
          <w:szCs w:val="24"/>
        </w:rPr>
      </w:pPr>
      <w:r w:rsidRPr="005F211E">
        <w:rPr>
          <w:rStyle w:val="nowrap"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3B61503F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b/>
          <w:sz w:val="24"/>
          <w:szCs w:val="24"/>
          <w:lang w:val="en-US"/>
        </w:rPr>
      </w:pPr>
      <w:r w:rsidRPr="005F211E">
        <w:rPr>
          <w:rStyle w:val="nowrap"/>
          <w:sz w:val="24"/>
          <w:szCs w:val="24"/>
          <w:shd w:val="clear" w:color="auto" w:fill="FFFFFF"/>
        </w:rPr>
        <w:t>Кривохиж С.В.</w:t>
      </w:r>
      <w:r w:rsidRPr="005F211E">
        <w:rPr>
          <w:sz w:val="24"/>
          <w:szCs w:val="24"/>
          <w:shd w:val="clear" w:color="auto" w:fill="FFFFFF"/>
        </w:rPr>
        <w:t xml:space="preserve"> Публичная дипломатия с китайской спецификой: чем может быть полезен опыт Пекина?//</w:t>
      </w:r>
      <w:r w:rsidRPr="005F211E">
        <w:rPr>
          <w:bCs/>
          <w:sz w:val="24"/>
          <w:szCs w:val="24"/>
          <w:shd w:val="clear" w:color="auto" w:fill="FFFFFF"/>
        </w:rPr>
        <w:t>Россия и Китай: история и перспективы сотрудничества. Материалы VI международной научно-практической конференции, Вып. 6.</w:t>
      </w:r>
      <w:r w:rsidRPr="005F211E">
        <w:rPr>
          <w:bCs/>
          <w:color w:val="343434"/>
          <w:sz w:val="24"/>
          <w:szCs w:val="24"/>
          <w:shd w:val="clear" w:color="auto" w:fill="FFFFFF"/>
        </w:rPr>
        <w:t xml:space="preserve"> -</w:t>
      </w:r>
      <w:r w:rsidRPr="005F211E">
        <w:rPr>
          <w:bCs/>
          <w:sz w:val="24"/>
          <w:szCs w:val="24"/>
          <w:shd w:val="clear" w:color="auto" w:fill="FFFFFF"/>
        </w:rPr>
        <w:t xml:space="preserve"> Благовещенск: </w:t>
      </w:r>
      <w:r w:rsidRPr="005F211E">
        <w:rPr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5F211E">
        <w:rPr>
          <w:rStyle w:val="affff9"/>
          <w:sz w:val="24"/>
          <w:szCs w:val="24"/>
        </w:rPr>
        <w:t xml:space="preserve"> гос. пед. ин-та</w:t>
      </w:r>
      <w:r w:rsidRPr="005F211E">
        <w:rPr>
          <w:bCs/>
          <w:color w:val="000000"/>
          <w:sz w:val="24"/>
          <w:szCs w:val="24"/>
          <w:shd w:val="clear" w:color="auto" w:fill="FFFFFF"/>
        </w:rPr>
        <w:t>, 2016.</w:t>
      </w:r>
      <w:r w:rsidRPr="005F211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</w:rPr>
        <w:t>С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1F5043F3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Материалы конференции на английском языке</w:t>
      </w:r>
      <w:r w:rsidRPr="005F211E">
        <w:t>:</w:t>
      </w:r>
    </w:p>
    <w:p w14:paraId="654B8A8E" w14:textId="77777777" w:rsidR="00EF2662" w:rsidRPr="005F211E" w:rsidRDefault="00EF2662" w:rsidP="00D92792">
      <w:pPr>
        <w:numPr>
          <w:ilvl w:val="0"/>
          <w:numId w:val="19"/>
        </w:numPr>
        <w:shd w:val="clear" w:color="auto" w:fill="FFFFFF" w:themeFill="background1"/>
        <w:spacing w:after="160" w:line="276" w:lineRule="auto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 xml:space="preserve">Samoylov N. Sino-Russian cultural interaction in the 19th century: scholars and artists // </w:t>
      </w:r>
      <w:r w:rsidRPr="005F211E">
        <w:rPr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r w:rsidRPr="005F211E">
        <w:rPr>
          <w:color w:val="000000"/>
          <w:sz w:val="24"/>
          <w:szCs w:val="24"/>
        </w:rPr>
        <w:t>Pр. 341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–</w:t>
      </w:r>
      <w:r w:rsidRPr="005F211E">
        <w:rPr>
          <w:color w:val="000000"/>
          <w:sz w:val="24"/>
          <w:szCs w:val="24"/>
        </w:rPr>
        <w:t>344.</w:t>
      </w:r>
    </w:p>
    <w:p w14:paraId="1E0F5C27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</w:pPr>
      <w:r w:rsidRPr="005F211E">
        <w:rPr>
          <w:b/>
          <w:bCs/>
        </w:rPr>
        <w:t>Журнальные статьи:</w:t>
      </w:r>
    </w:p>
    <w:p w14:paraId="4E4F139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Поляков Ю.А. История и политика: суждения В. О. Ключевского // Российская история. 2013. № 2. С. 137–155.</w:t>
      </w:r>
    </w:p>
    <w:p w14:paraId="4AAF766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485D17A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Бураков В.В., Иванов И.И., Петров П.П., Семенов С.С., Залкинд А.А</w:t>
      </w:r>
      <w:r w:rsidRPr="005F211E">
        <w:rPr>
          <w:b/>
          <w:bCs/>
        </w:rPr>
        <w:t xml:space="preserve">. </w:t>
      </w:r>
      <w:r w:rsidRPr="005F211E">
        <w:t>Управление качеством программных средств // Информационно-управляющие системы. 2009. № 5. С. 43–47.</w:t>
      </w:r>
    </w:p>
    <w:p w14:paraId="3660D575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  <w:rPr>
          <w:b/>
          <w:bCs/>
        </w:rPr>
      </w:pPr>
      <w:r w:rsidRPr="005F211E">
        <w:rPr>
          <w:b/>
          <w:bCs/>
        </w:rPr>
        <w:t>Журнальные статьи изданий, имеющих серии:</w:t>
      </w:r>
    </w:p>
    <w:p w14:paraId="3BE9AC0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Желтов А.Ю. Некоторые проблемы типологии посессивности: на материале посессивных конструкций в языке суахили. // </w:t>
      </w:r>
      <w:r w:rsidRPr="005F211E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5F211E">
        <w:t>, 2007. </w:t>
      </w:r>
      <w:r w:rsidRPr="005F211E">
        <w:rPr>
          <w:rStyle w:val="affff9"/>
        </w:rPr>
        <w:t>Вып. 4, ч. 1</w:t>
      </w:r>
      <w:r w:rsidRPr="005F211E">
        <w:rPr>
          <w:b/>
          <w:bCs/>
        </w:rPr>
        <w:t xml:space="preserve">. </w:t>
      </w:r>
      <w:r w:rsidRPr="005F211E">
        <w:t>С. 54</w:t>
      </w:r>
      <w:r w:rsidRPr="005F211E">
        <w:rPr>
          <w:color w:val="000000"/>
          <w:shd w:val="clear" w:color="auto" w:fill="FFFFFF"/>
        </w:rPr>
        <w:t>–</w:t>
      </w:r>
      <w:r w:rsidRPr="005F211E">
        <w:t>62.</w:t>
      </w:r>
    </w:p>
    <w:p w14:paraId="0E79E0DD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Журнальные статьи изданий, имеющих серии на английском языке</w:t>
      </w:r>
      <w:r w:rsidRPr="005F211E">
        <w:t>:</w:t>
      </w:r>
    </w:p>
    <w:p w14:paraId="74B440F8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b/>
          <w:color w:val="000000"/>
          <w:sz w:val="24"/>
          <w:szCs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5F211E">
        <w:rPr>
          <w:color w:val="000000"/>
          <w:sz w:val="24"/>
          <w:szCs w:val="24"/>
        </w:rPr>
        <w:t xml:space="preserve"> Vol. 5(7), </w:t>
      </w:r>
      <w:r w:rsidRPr="005F211E">
        <w:rPr>
          <w:b/>
          <w:color w:val="000000"/>
          <w:sz w:val="24"/>
          <w:szCs w:val="24"/>
        </w:rPr>
        <w:t>без пробела перед скобкой. Недопустимо смешивать номер тома (volume number) и номер выпуска (issue number). Описания доступны на сайтах журналов. Номер выпуска указывается в круглых скобках после номера тома, без пробелов.</w:t>
      </w:r>
    </w:p>
    <w:p w14:paraId="422D5D42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rStyle w:val="affff5"/>
          <w:i w:val="0"/>
          <w:color w:val="000000"/>
          <w:sz w:val="24"/>
          <w:szCs w:val="24"/>
          <w:lang w:val="en-US"/>
        </w:rPr>
        <w:t>Pison G., D'Addato A.V.</w:t>
      </w:r>
      <w:r w:rsidRPr="005F211E">
        <w:rPr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>. 250–259.</w:t>
      </w:r>
    </w:p>
    <w:p w14:paraId="615F8DDB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</w:rPr>
        <w:t>о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n J.M.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29D20571" w14:textId="63A4E88A" w:rsidR="00EF2662" w:rsidRPr="001431DF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1431DF">
        <w:rPr>
          <w:lang w:val="en-US"/>
        </w:rPr>
        <w:t>Akers S.B. Binary decision diagrams // IEEE Trans. Computers. 1978.  Vol. 27(6). P</w:t>
      </w:r>
      <w:r w:rsidRPr="001431DF">
        <w:t>р</w:t>
      </w:r>
      <w:r w:rsidRPr="001431DF">
        <w:rPr>
          <w:lang w:val="en-US"/>
        </w:rPr>
        <w:t>.</w:t>
      </w:r>
      <w:r w:rsidRPr="001431DF">
        <w:t> </w:t>
      </w:r>
      <w:r w:rsidRPr="001431DF">
        <w:rPr>
          <w:lang w:val="en-US"/>
        </w:rPr>
        <w:t>509</w:t>
      </w:r>
      <w:r w:rsidRPr="001431DF">
        <w:rPr>
          <w:color w:val="000000"/>
          <w:shd w:val="clear" w:color="auto" w:fill="FFFFFF"/>
          <w:lang w:val="en-US"/>
        </w:rPr>
        <w:t>–</w:t>
      </w:r>
      <w:r w:rsidRPr="001431DF">
        <w:rPr>
          <w:lang w:val="en-US"/>
        </w:rPr>
        <w:t>516.</w:t>
      </w:r>
    </w:p>
    <w:p w14:paraId="4879EFAB" w14:textId="5D4A03C8" w:rsidR="003B7D2F" w:rsidRPr="001431DF" w:rsidRDefault="003A699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3A6992">
        <w:rPr>
          <w:lang w:val="en-US"/>
        </w:rPr>
        <w:t>Sato Thuy Uyen, Shimizu Masaaki, Kondo Mika Kokufu shishu gosai ichi Gencho Betonamu ni okeru kanji jinan kokugoji hyoki-no shishu</w:t>
      </w:r>
      <w:r w:rsidRPr="003A6992">
        <w:rPr>
          <w:rFonts w:ascii="SimSun" w:eastAsia="SimSun" w:hAnsi="SimSun" w:cs="SimSun" w:hint="eastAsia"/>
        </w:rPr>
        <w:t>『國風詩集合採』</w:t>
      </w:r>
      <w:r w:rsidRPr="003A6992">
        <w:rPr>
          <w:lang w:val="en-US"/>
        </w:rPr>
        <w:t>―</w:t>
      </w:r>
      <w:r w:rsidRPr="003A6992">
        <w:rPr>
          <w:rFonts w:ascii="SimSun" w:eastAsia="SimSun" w:hAnsi="SimSun" w:cs="SimSun" w:hint="eastAsia"/>
        </w:rPr>
        <w:t>阮朝ベトナムにおける漢字</w:t>
      </w:r>
      <w:r w:rsidRPr="003A6992">
        <w:rPr>
          <w:rFonts w:ascii="Microsoft YaHei" w:eastAsia="Microsoft YaHei" w:hAnsi="Microsoft YaHei" w:cs="Microsoft YaHei" w:hint="eastAsia"/>
        </w:rPr>
        <w:t>・字喃・国語字表記の詩集</w:t>
      </w:r>
      <w:r w:rsidRPr="003A6992">
        <w:rPr>
          <w:lang w:val="en-US"/>
        </w:rPr>
        <w:t>. [“</w:t>
      </w:r>
      <w:r>
        <w:t>Антология</w:t>
      </w:r>
      <w:r w:rsidRPr="003A6992">
        <w:rPr>
          <w:lang w:val="en-US"/>
        </w:rPr>
        <w:t xml:space="preserve"> </w:t>
      </w:r>
      <w:r>
        <w:t>местных</w:t>
      </w:r>
      <w:r w:rsidRPr="003A6992">
        <w:rPr>
          <w:lang w:val="en-US"/>
        </w:rPr>
        <w:t xml:space="preserve"> </w:t>
      </w:r>
      <w:r>
        <w:t>напевов</w:t>
      </w:r>
      <w:r w:rsidRPr="003A6992">
        <w:rPr>
          <w:lang w:val="en-US"/>
        </w:rPr>
        <w:t xml:space="preserve">”: </w:t>
      </w:r>
      <w:r>
        <w:t>Вьетнамская</w:t>
      </w:r>
      <w:r w:rsidRPr="003A6992">
        <w:rPr>
          <w:lang w:val="en-US"/>
        </w:rPr>
        <w:t xml:space="preserve"> </w:t>
      </w:r>
      <w:r>
        <w:t>антология</w:t>
      </w:r>
      <w:r w:rsidRPr="003A6992">
        <w:rPr>
          <w:lang w:val="en-US"/>
        </w:rPr>
        <w:t xml:space="preserve"> </w:t>
      </w:r>
      <w:r>
        <w:t>периода</w:t>
      </w:r>
      <w:r w:rsidRPr="003A6992">
        <w:rPr>
          <w:lang w:val="en-US"/>
        </w:rPr>
        <w:t xml:space="preserve"> </w:t>
      </w:r>
      <w:r>
        <w:t>Нгуен</w:t>
      </w:r>
      <w:r w:rsidRPr="003A6992">
        <w:rPr>
          <w:lang w:val="en-US"/>
        </w:rPr>
        <w:t xml:space="preserve">, </w:t>
      </w:r>
      <w:r>
        <w:t>написанная</w:t>
      </w:r>
      <w:r w:rsidRPr="003A6992">
        <w:rPr>
          <w:lang w:val="en-US"/>
        </w:rPr>
        <w:t xml:space="preserve"> </w:t>
      </w:r>
      <w:r>
        <w:t>китайской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, </w:t>
      </w:r>
      <w:r>
        <w:t>вьетнамской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 </w:t>
      </w:r>
      <w:r>
        <w:t>ном</w:t>
      </w:r>
      <w:r w:rsidRPr="003A6992">
        <w:rPr>
          <w:lang w:val="en-US"/>
        </w:rPr>
        <w:t xml:space="preserve"> </w:t>
      </w:r>
      <w:r>
        <w:t>и</w:t>
      </w:r>
      <w:r w:rsidRPr="003A6992">
        <w:rPr>
          <w:lang w:val="en-US"/>
        </w:rPr>
        <w:t xml:space="preserve"> </w:t>
      </w:r>
      <w:r>
        <w:t>письменностью</w:t>
      </w:r>
      <w:r w:rsidRPr="003A6992">
        <w:rPr>
          <w:lang w:val="en-US"/>
        </w:rPr>
        <w:t xml:space="preserve"> </w:t>
      </w:r>
      <w:r>
        <w:t>куокнгы</w:t>
      </w:r>
      <w:r>
        <w:rPr>
          <w:lang w:val="en-US"/>
        </w:rPr>
        <w:t>]</w:t>
      </w:r>
      <w:r w:rsidRPr="003A6992">
        <w:rPr>
          <w:lang w:val="en-US"/>
        </w:rPr>
        <w:t xml:space="preserve"> // Bulletin of Osaka University International linguistic centre 2012 №7 PP.263-283 (In Jap.)</w:t>
      </w:r>
    </w:p>
    <w:p w14:paraId="792795B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lang w:val="en-US"/>
        </w:rPr>
      </w:pPr>
      <w:r w:rsidRPr="005F211E">
        <w:rPr>
          <w:b/>
        </w:rPr>
        <w:t>А</w:t>
      </w:r>
      <w:r w:rsidRPr="005F211E">
        <w:rPr>
          <w:b/>
          <w:bCs/>
        </w:rPr>
        <w:t>втореферат диссертации:</w:t>
      </w:r>
    </w:p>
    <w:p w14:paraId="7EA698BD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Венков А.Г. Построение и идентификация нечетких математических моделей технологических процессов в условиях неопределенности: автореф. дис. канд. техн. наук. Липецк: ЛГТУ, 2002.</w:t>
      </w:r>
    </w:p>
    <w:p w14:paraId="583E8B29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</w:rPr>
      </w:pPr>
      <w:r w:rsidRPr="005F211E">
        <w:rPr>
          <w:b/>
          <w:bCs/>
        </w:rPr>
        <w:t>Ссылки на иностранную литературу</w:t>
      </w:r>
      <w:r w:rsidRPr="005F211E">
        <w:rPr>
          <w:rStyle w:val="apple-converted-space"/>
          <w:b/>
        </w:rPr>
        <w:t xml:space="preserve"> </w:t>
      </w:r>
      <w:r w:rsidRPr="005F211E">
        <w:rPr>
          <w:b/>
        </w:rPr>
        <w:t xml:space="preserve">следует давать </w:t>
      </w:r>
      <w:r w:rsidRPr="005F211E">
        <w:rPr>
          <w:b/>
          <w:u w:val="single"/>
        </w:rPr>
        <w:t>на языке оригинала</w:t>
      </w:r>
      <w:r w:rsidRPr="005F211E">
        <w:rPr>
          <w:b/>
        </w:rPr>
        <w:t xml:space="preserve"> без сокращений:</w:t>
      </w:r>
    </w:p>
    <w:p w14:paraId="726D918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r w:rsidRPr="005F211E">
        <w:rPr>
          <w:lang w:val="en-US"/>
        </w:rPr>
        <w:t>Gilb T. Principles of Software Engineering Management. Addison Wesley, Reading MA, 1988.</w:t>
      </w:r>
    </w:p>
    <w:p w14:paraId="707444D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r w:rsidRPr="005F211E">
        <w:rPr>
          <w:lang w:val="en-US"/>
        </w:rPr>
        <w:t>Brooking A., Jones P., Cox F. Expert systems. Principles and Case Studies. Chapman and Hall, 1984.</w:t>
      </w:r>
    </w:p>
    <w:p w14:paraId="378144C5" w14:textId="77777777" w:rsidR="00EF2662" w:rsidRPr="005F211E" w:rsidRDefault="00EF2662" w:rsidP="00EF2662">
      <w:pPr>
        <w:spacing w:line="276" w:lineRule="auto"/>
        <w:ind w:left="720"/>
        <w:rPr>
          <w:rStyle w:val="affff9"/>
          <w:color w:val="000000"/>
          <w:sz w:val="24"/>
          <w:szCs w:val="24"/>
          <w:lang w:val="en-US"/>
        </w:rPr>
      </w:pPr>
    </w:p>
    <w:p w14:paraId="7538059E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“</w:t>
      </w:r>
      <w:r w:rsidRPr="005F211E">
        <w:rPr>
          <w:rStyle w:val="affff9"/>
          <w:color w:val="000000"/>
          <w:sz w:val="24"/>
          <w:szCs w:val="24"/>
          <w:lang w:val="en-US"/>
        </w:rPr>
        <w:t>Working</w:t>
      </w:r>
      <w:r w:rsidRPr="005F211E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  <w:lang w:val="en-US"/>
        </w:rPr>
        <w:t>Papers</w:t>
      </w:r>
      <w:r w:rsidRPr="005F211E">
        <w:rPr>
          <w:rStyle w:val="affff9"/>
          <w:color w:val="000000"/>
          <w:sz w:val="24"/>
          <w:szCs w:val="24"/>
        </w:rPr>
        <w:t>”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b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013C6641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Годовой финансовый отчет компании</w:t>
      </w:r>
      <w:r w:rsidRPr="005F211E">
        <w:rPr>
          <w:color w:val="000000"/>
          <w:sz w:val="24"/>
          <w:szCs w:val="24"/>
        </w:rPr>
        <w:t>:</w:t>
      </w:r>
    </w:p>
    <w:p w14:paraId="052B75CD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1996 Annual report / BMW (Bayerische Motoren Werke Aktiengesellschaft). Munich, 1996.</w:t>
      </w:r>
    </w:p>
    <w:p w14:paraId="6F52F710" w14:textId="77777777" w:rsidR="00EF2662" w:rsidRPr="005F211E" w:rsidRDefault="00EF2662" w:rsidP="00EF2662">
      <w:pPr>
        <w:spacing w:line="276" w:lineRule="auto"/>
        <w:ind w:left="720"/>
        <w:rPr>
          <w:color w:val="000000"/>
          <w:sz w:val="24"/>
          <w:szCs w:val="24"/>
          <w:lang w:val="en-US"/>
        </w:rPr>
      </w:pPr>
      <w:r w:rsidRPr="005F211E">
        <w:rPr>
          <w:rStyle w:val="affff9"/>
          <w:color w:val="000000"/>
          <w:sz w:val="24"/>
          <w:szCs w:val="24"/>
        </w:rPr>
        <w:t>Кейс</w:t>
      </w:r>
      <w:r w:rsidRPr="005F211E">
        <w:rPr>
          <w:color w:val="000000"/>
          <w:sz w:val="24"/>
          <w:szCs w:val="24"/>
          <w:lang w:val="en-US"/>
        </w:rPr>
        <w:t>:</w:t>
      </w:r>
    </w:p>
    <w:p w14:paraId="5CDD11FC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Gladkikh I.V. Darling Chocolate: (case) / I.V. Gladkikh, S.A. Starov, J.G. Myers. The European Case Clearing House (ECCH). 1998. № </w:t>
      </w:r>
      <w:r w:rsidRPr="005F211E">
        <w:rPr>
          <w:rStyle w:val="wmi-callto"/>
          <w:color w:val="000000"/>
          <w:sz w:val="24"/>
          <w:szCs w:val="24"/>
          <w:lang w:val="en-US"/>
        </w:rPr>
        <w:t>599-002-1</w:t>
      </w:r>
      <w:r w:rsidRPr="005F211E">
        <w:rPr>
          <w:color w:val="000000"/>
          <w:sz w:val="24"/>
          <w:szCs w:val="24"/>
          <w:lang w:val="en-US"/>
        </w:rPr>
        <w:t>.</w:t>
      </w:r>
    </w:p>
    <w:p w14:paraId="2807E42A" w14:textId="093C24C0" w:rsidR="00EF2662" w:rsidRPr="005F211E" w:rsidRDefault="00EF2662" w:rsidP="00EF2662">
      <w:pPr>
        <w:pStyle w:val="a4"/>
        <w:rPr>
          <w:b/>
          <w:bCs/>
          <w:szCs w:val="24"/>
        </w:rPr>
      </w:pPr>
      <w:r w:rsidRPr="005F211E">
        <w:rPr>
          <w:b/>
          <w:bCs/>
          <w:szCs w:val="24"/>
        </w:rPr>
        <w:t>Ссылки на Интернет-источники (новости</w:t>
      </w:r>
      <w:r w:rsidR="00220136">
        <w:rPr>
          <w:b/>
          <w:bCs/>
          <w:szCs w:val="24"/>
        </w:rPr>
        <w:t xml:space="preserve">, </w:t>
      </w:r>
      <w:r w:rsidRPr="005F211E">
        <w:rPr>
          <w:b/>
          <w:bCs/>
          <w:szCs w:val="24"/>
        </w:rPr>
        <w:t>текстовые записи бесед, лекций, интервью, видеозаписи).</w:t>
      </w:r>
    </w:p>
    <w:p w14:paraId="51C8DD26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у публикации есть автор, название и дата размещения в сети:</w:t>
      </w:r>
    </w:p>
    <w:p w14:paraId="21D8D5FF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 ФИО (Год). Название // Название новостного сайта, дата издания. Дата обновления.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8" w:tgtFrame="_blank" w:history="1">
        <w:r w:rsidRPr="005F211E">
          <w:rPr>
            <w:szCs w:val="24"/>
            <w:u w:val="single"/>
          </w:rPr>
          <w:t>http://www</w:t>
        </w:r>
      </w:hyperlink>
      <w:r w:rsidRPr="005F211E">
        <w:rPr>
          <w:szCs w:val="24"/>
        </w:rPr>
        <w:t>. ...(Дата обращения: 19.03.2007).</w:t>
      </w:r>
    </w:p>
    <w:p w14:paraId="16964D4A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приводятся другие данные:</w:t>
      </w:r>
    </w:p>
    <w:p w14:paraId="1F1FC575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Экономический рост // Новая Россия: [библиогр. указ.] / сост.: Б. Берхина, О. Коковкина, С. Канн; Отд-ние ГПНТБ СО РАН. Новосибирск, [2003 – ]. Дата обновления: 6.03.2007.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URL: </w:t>
      </w:r>
      <w:hyperlink r:id="rId9" w:tgtFrame="_blank" w:history="1">
        <w:r w:rsidRPr="005F211E">
          <w:rPr>
            <w:szCs w:val="24"/>
            <w:u w:val="single"/>
          </w:rPr>
          <w:t>http://www.prometeus.nsc.ru/biblio/newrus/egrowth.ssi</w:t>
        </w:r>
      </w:hyperlink>
      <w:r w:rsidRPr="005F211E">
        <w:rPr>
          <w:szCs w:val="24"/>
        </w:rPr>
        <w:t xml:space="preserve"> (дата обращения: 22.03.2007).</w:t>
      </w:r>
    </w:p>
    <w:p w14:paraId="20E6EE7A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Инвестиции останутся сырьевыми // PROGNOSIS.RU: ежедн. интернет-изд. 2006. 25 янв.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10" w:tgtFrame="_blank" w:history="1">
        <w:r w:rsidRPr="005F211E">
          <w:rPr>
            <w:szCs w:val="24"/>
            <w:u w:val="single"/>
          </w:rPr>
          <w:t>http://www.prognosis.ru/print.html?id=6464</w:t>
        </w:r>
      </w:hyperlink>
      <w:r w:rsidRPr="005F211E">
        <w:rPr>
          <w:szCs w:val="24"/>
        </w:rPr>
        <w:t xml:space="preserve"> (дата обращения: 19.03.2007).</w:t>
      </w:r>
    </w:p>
    <w:p w14:paraId="5657710C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Хитров А. (2011). Оптимистический интернет-телеканал «Дoждь» [Беседа с главным редактором телеканала М. Зыгaрем]. </w:t>
      </w:r>
      <w:r w:rsidRPr="005F211E">
        <w:rPr>
          <w:color w:val="000000"/>
          <w:szCs w:val="24"/>
          <w:shd w:val="clear" w:color="auto" w:fill="FFFFFF"/>
        </w:rPr>
        <w:t>[Электронный ресурс]</w:t>
      </w:r>
      <w:r w:rsidRPr="005F211E">
        <w:rPr>
          <w:szCs w:val="24"/>
        </w:rPr>
        <w:t xml:space="preserve">// Digitаl Icоns. Vol. 6 URL: </w:t>
      </w:r>
      <w:hyperlink r:id="rId11" w:tgtFrame="_blank" w:history="1">
        <w:r w:rsidRPr="005F211E">
          <w:rPr>
            <w:szCs w:val="24"/>
            <w:u w:val="single"/>
          </w:rPr>
          <w:t>http://www.digitalicons.org/issue06/files/2012/01/6.6_Khitrov.pdf</w:t>
        </w:r>
      </w:hyperlink>
      <w:r w:rsidRPr="005F211E">
        <w:rPr>
          <w:szCs w:val="24"/>
        </w:rPr>
        <w:t> (дата обращения: ....).</w:t>
      </w:r>
    </w:p>
    <w:p w14:paraId="7398B212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Slоterdijks Piter (2007). Theоrie des Fundamentаlismus [видеозапись лекции П. Слотердайка].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// YouTube. 28 января. URL: </w:t>
      </w:r>
      <w:hyperlink r:id="rId12" w:tgtFrame="_blank" w:history="1">
        <w:r w:rsidRPr="005F211E">
          <w:rPr>
            <w:szCs w:val="24"/>
            <w:u w:val="single"/>
          </w:rPr>
          <w:t>http://www.youtube.com/watch?v=i9BOYVE46Nw&amp;feature=related</w:t>
        </w:r>
      </w:hyperlink>
      <w:r w:rsidRPr="005F211E">
        <w:rPr>
          <w:szCs w:val="24"/>
        </w:rPr>
        <w:t> (дата обращения: ....).</w:t>
      </w:r>
    </w:p>
    <w:p w14:paraId="43F45F24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>Pison G., D'Addato A.V</w:t>
      </w:r>
      <w:r w:rsidRPr="005F211E">
        <w:rPr>
          <w:rStyle w:val="affff9"/>
          <w:iCs/>
          <w:color w:val="000000"/>
          <w:szCs w:val="24"/>
          <w:shd w:val="clear" w:color="auto" w:fill="FFFFFF"/>
          <w:lang w:val="en-US"/>
        </w:rPr>
        <w:t xml:space="preserve">. </w:t>
      </w:r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5F211E">
        <w:rPr>
          <w:rStyle w:val="affff9"/>
          <w:color w:val="000000"/>
          <w:szCs w:val="24"/>
          <w:shd w:val="clear" w:color="auto" w:fill="FFFFFF"/>
        </w:rPr>
        <w:t>2006. Vol. 9(2). P. 250–259. 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URL: </w:t>
      </w:r>
      <w:hyperlink r:id="rId13" w:tgtFrame="_blank" w:history="1">
        <w:r w:rsidRPr="005F211E">
          <w:rPr>
            <w:rStyle w:val="af8"/>
            <w:color w:val="000000"/>
            <w:szCs w:val="24"/>
            <w:shd w:val="clear" w:color="auto" w:fill="FFFFFF"/>
          </w:rPr>
          <w:t>http://www.</w:t>
        </w:r>
      </w:hyperlink>
      <w:r w:rsidRPr="005F211E">
        <w:rPr>
          <w:color w:val="000000"/>
          <w:szCs w:val="24"/>
          <w:shd w:val="clear" w:color="auto" w:fill="FFFFFF"/>
        </w:rPr>
        <w:t>.......корректная ссылка............................. (дата обращения: ….).</w:t>
      </w:r>
    </w:p>
    <w:p w14:paraId="10F2B2A3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rStyle w:val="affff9"/>
          <w:color w:val="000000"/>
        </w:rPr>
      </w:pPr>
    </w:p>
    <w:p w14:paraId="49BBC06D" w14:textId="77777777" w:rsidR="00EF2662" w:rsidRPr="005F211E" w:rsidRDefault="00EF2662" w:rsidP="00EF2662">
      <w:pPr>
        <w:pStyle w:val="affffe"/>
        <w:spacing w:line="276" w:lineRule="auto"/>
        <w:ind w:left="360" w:firstLine="491"/>
        <w:jc w:val="both"/>
        <w:rPr>
          <w:b/>
          <w:bCs/>
        </w:rPr>
      </w:pPr>
      <w:r w:rsidRPr="005F211E">
        <w:rPr>
          <w:b/>
          <w:bCs/>
        </w:rPr>
        <w:t>Оформление повторяющихся ссылок:</w:t>
      </w:r>
    </w:p>
    <w:p w14:paraId="42D1EBB1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>Если в тексте ВКР приводится две и более ссылки на на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1"/>
      </w:r>
      <w:r w:rsidRPr="005F211E">
        <w:t>, вторая ссылка – с пометкой «Указ. Соч.» и указанием страницы</w:t>
      </w:r>
      <w:r w:rsidRPr="005F211E">
        <w:rPr>
          <w:rStyle w:val="aff0"/>
          <w:b/>
          <w:bCs/>
        </w:rPr>
        <w:footnoteReference w:id="2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0A4BB3D4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</w:p>
    <w:p w14:paraId="153E8D48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 xml:space="preserve">Если в тексте ВКР приводится несколько ссылок на один и тот же источник </w:t>
      </w:r>
      <w:r w:rsidRPr="005F211E">
        <w:rPr>
          <w:b/>
        </w:rPr>
        <w:t>подряд</w:t>
      </w:r>
      <w:r w:rsidRPr="005F211E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3"/>
      </w:r>
      <w:r w:rsidRPr="005F211E">
        <w:t>, вторая ссылка – с пометкой «Там же» и указанием страницы</w:t>
      </w:r>
      <w:r w:rsidRPr="005F211E">
        <w:rPr>
          <w:rStyle w:val="aff0"/>
          <w:b/>
          <w:bCs/>
        </w:rPr>
        <w:footnoteReference w:id="4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1BBEBEA7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b/>
          <w:bCs/>
        </w:rPr>
      </w:pPr>
    </w:p>
    <w:p w14:paraId="7FA4C8AF" w14:textId="77777777" w:rsidR="00EF2662" w:rsidRPr="005F211E" w:rsidRDefault="00EF2662" w:rsidP="00EF2662">
      <w:pPr>
        <w:spacing w:line="276" w:lineRule="auto"/>
        <w:ind w:left="360" w:firstLine="491"/>
        <w:rPr>
          <w:b/>
          <w:bCs/>
          <w:sz w:val="24"/>
          <w:szCs w:val="24"/>
          <w:lang w:bidi="he-IL"/>
        </w:rPr>
      </w:pPr>
      <w:r w:rsidRPr="005F211E">
        <w:rPr>
          <w:b/>
          <w:bCs/>
          <w:sz w:val="24"/>
          <w:szCs w:val="24"/>
          <w:lang w:bidi="he-IL"/>
        </w:rPr>
        <w:t>Вторичное цитирование:</w:t>
      </w:r>
    </w:p>
    <w:p w14:paraId="6FB3CE5E" w14:textId="77777777" w:rsidR="00EF2662" w:rsidRPr="005F211E" w:rsidRDefault="00EF2662" w:rsidP="00EF2662">
      <w:pPr>
        <w:spacing w:line="276" w:lineRule="auto"/>
        <w:ind w:firstLine="852"/>
        <w:rPr>
          <w:sz w:val="24"/>
          <w:szCs w:val="24"/>
        </w:rPr>
      </w:pPr>
      <w:r w:rsidRPr="005F211E">
        <w:rPr>
          <w:sz w:val="24"/>
          <w:szCs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Pr="005F211E">
        <w:rPr>
          <w:rStyle w:val="aff0"/>
          <w:sz w:val="24"/>
          <w:szCs w:val="24"/>
        </w:rPr>
        <w:footnoteReference w:id="5"/>
      </w:r>
    </w:p>
    <w:p w14:paraId="1CFC9B84" w14:textId="4CED97ED" w:rsidR="0072344F" w:rsidRPr="003F2566" w:rsidRDefault="003F2566" w:rsidP="003F2566">
      <w:pPr>
        <w:pStyle w:val="2"/>
        <w:keepLines w:val="0"/>
        <w:widowControl/>
        <w:numPr>
          <w:ilvl w:val="0"/>
          <w:numId w:val="0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5.</w:t>
      </w:r>
      <w:r w:rsidR="00EF2662" w:rsidRPr="003F2566">
        <w:rPr>
          <w:bCs/>
          <w:sz w:val="24"/>
          <w:szCs w:val="24"/>
        </w:rPr>
        <w:t xml:space="preserve"> Этапы подготовки ВКР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717"/>
      </w:tblGrid>
      <w:tr w:rsidR="00EF2662" w:rsidRPr="005F211E" w14:paraId="20686B8E" w14:textId="77777777" w:rsidTr="00DC1257">
        <w:trPr>
          <w:trHeight w:val="13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D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38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Этап подготовки</w:t>
            </w:r>
            <w:r w:rsidRPr="005F211E">
              <w:rPr>
                <w:sz w:val="24"/>
                <w:szCs w:val="24"/>
                <w:lang w:eastAsia="zh-CN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BDA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Ответственный</w:t>
            </w:r>
            <w:r w:rsidRPr="005F211E">
              <w:rPr>
                <w:b/>
                <w:bCs/>
                <w:sz w:val="24"/>
                <w:szCs w:val="24"/>
                <w:lang w:eastAsia="zh-CN"/>
              </w:rPr>
              <w:br/>
              <w:t>за этап подготовки ВКР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340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Сроки исполнения</w:t>
            </w:r>
          </w:p>
        </w:tc>
      </w:tr>
      <w:tr w:rsidR="00EF2662" w:rsidRPr="005F211E" w14:paraId="12A9F80E" w14:textId="77777777" w:rsidTr="00DC125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D1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8A2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Определение темы ВКР и консультации с научным руководителем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3A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916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сентября</w:t>
            </w:r>
          </w:p>
          <w:p w14:paraId="59EA75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текущего учебного года</w:t>
            </w:r>
          </w:p>
        </w:tc>
      </w:tr>
      <w:tr w:rsidR="00EF2662" w:rsidRPr="005F211E" w14:paraId="73AE3AF5" w14:textId="77777777" w:rsidTr="00DC1257">
        <w:trPr>
          <w:trHeight w:val="6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B0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9330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Заявление о выборе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69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2F3E" w14:textId="7B30BAAA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</w:t>
            </w:r>
            <w:r w:rsidR="001431DF">
              <w:rPr>
                <w:sz w:val="24"/>
                <w:szCs w:val="24"/>
                <w:lang w:eastAsia="zh-CN"/>
              </w:rPr>
              <w:t>5</w:t>
            </w:r>
            <w:r w:rsidRPr="005F211E">
              <w:rPr>
                <w:sz w:val="24"/>
                <w:szCs w:val="24"/>
                <w:lang w:eastAsia="zh-CN"/>
              </w:rPr>
              <w:t xml:space="preserve"> октября текущего учебного года</w:t>
            </w:r>
          </w:p>
        </w:tc>
      </w:tr>
      <w:tr w:rsidR="00EF2662" w:rsidRPr="005F211E" w14:paraId="2C8F17E9" w14:textId="77777777" w:rsidTr="00DC1257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B63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88CC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C1F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01F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октября текущего учебного года</w:t>
            </w:r>
          </w:p>
        </w:tc>
      </w:tr>
      <w:tr w:rsidR="00EF2662" w:rsidRPr="005F211E" w14:paraId="5D476FDE" w14:textId="77777777" w:rsidTr="00DC1257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06B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348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графика подготовки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76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 / 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05E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 ноября текущего учебного года</w:t>
            </w:r>
          </w:p>
        </w:tc>
      </w:tr>
      <w:tr w:rsidR="00EF2662" w:rsidRPr="005F211E" w14:paraId="60C524CA" w14:textId="77777777" w:rsidTr="00DC1257">
        <w:trPr>
          <w:trHeight w:val="5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88A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DD9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Закрепление темы ВКР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8D7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32F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декабря текущего учебного года</w:t>
            </w:r>
          </w:p>
        </w:tc>
      </w:tr>
      <w:tr w:rsidR="00EF2662" w:rsidRPr="005F211E" w14:paraId="28591CAF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4B4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99DD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Предъявление студентом руководителю проекта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A08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54C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декабря текущего учебного года</w:t>
            </w:r>
          </w:p>
        </w:tc>
      </w:tr>
      <w:tr w:rsidR="00EF2662" w:rsidRPr="005F211E" w14:paraId="0519680D" w14:textId="77777777" w:rsidTr="00DC1257">
        <w:trPr>
          <w:trHeight w:val="58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21B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4A65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Первое предъявление готовой ВКР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CC8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8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Не позднее 1 марта текущего учебного года </w:t>
            </w:r>
          </w:p>
        </w:tc>
      </w:tr>
      <w:tr w:rsidR="00EF2662" w:rsidRPr="005F211E" w14:paraId="13D3CED5" w14:textId="77777777" w:rsidTr="00DC1257">
        <w:trPr>
          <w:trHeight w:val="6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6356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EF3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BFC6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CD32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апреля текущего учебного года</w:t>
            </w:r>
          </w:p>
        </w:tc>
      </w:tr>
      <w:tr w:rsidR="00EF2662" w:rsidRPr="005F211E" w14:paraId="62099AA4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88C9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4D5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полного текста ВКР,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02B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F1D1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мая текущего учебного года</w:t>
            </w:r>
          </w:p>
        </w:tc>
      </w:tr>
      <w:tr w:rsidR="00EF2662" w:rsidRPr="005F211E" w14:paraId="61331BD1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7CDE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21BA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Загрузка ВКР с визой научного руководителя в систему LMS для дальнейшей проверки работы на плагиат системой «Антиплагиат»;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7E3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CCD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48144BB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17C4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0D4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итогового варианта ВКР с результатом проверки на антиплагиат научному руководителю (электронный вариант) и менеджеру УО (распечатанный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387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8B5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25C19FF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7A85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302F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ВКР рецензенту.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5C2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  <w:r w:rsidRPr="005F211E">
              <w:rPr>
                <w:sz w:val="24"/>
                <w:szCs w:val="24"/>
                <w:lang w:val="en-US" w:eastAsia="zh-CN"/>
              </w:rPr>
              <w:t>/</w:t>
            </w:r>
            <w:r w:rsidRPr="005F211E">
              <w:rPr>
                <w:sz w:val="24"/>
                <w:szCs w:val="24"/>
                <w:lang w:eastAsia="zh-CN"/>
              </w:rPr>
              <w:t xml:space="preserve"> 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3A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262BE025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1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6288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 xml:space="preserve">Подготовка письменного отзыва на ВКР 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C39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421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EF2662" w:rsidRPr="005F211E" w14:paraId="40E2B4C1" w14:textId="77777777" w:rsidTr="00AE4A30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DFA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4C0E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Подготовка письменного отзыва на ВКР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6ED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A3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AE4A30" w:rsidRPr="005F211E" w14:paraId="46AE28B8" w14:textId="77777777" w:rsidTr="00AE4A30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49E6" w14:textId="7D8C4651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C097" w14:textId="66970964" w:rsidR="00AE4A30" w:rsidRPr="005F211E" w:rsidRDefault="00AE4A30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AE4A30">
              <w:rPr>
                <w:bCs/>
                <w:sz w:val="24"/>
                <w:szCs w:val="24"/>
                <w:lang w:eastAsia="zh-CN"/>
              </w:rPr>
              <w:t xml:space="preserve">Доведение содержания рецензии </w:t>
            </w:r>
            <w:r>
              <w:rPr>
                <w:bCs/>
                <w:sz w:val="24"/>
                <w:szCs w:val="24"/>
                <w:lang w:eastAsia="zh-CN"/>
              </w:rPr>
              <w:t xml:space="preserve">на ВКР </w:t>
            </w:r>
            <w:r w:rsidRPr="00AE4A30">
              <w:rPr>
                <w:bCs/>
                <w:sz w:val="24"/>
                <w:szCs w:val="24"/>
                <w:lang w:eastAsia="zh-CN"/>
              </w:rPr>
              <w:t>до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37FE" w14:textId="4B501E77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Учебный офис / Обучающийся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14FE" w14:textId="2E44E210" w:rsidR="00AE4A30" w:rsidRPr="005F211E" w:rsidRDefault="00AE4A30" w:rsidP="00AE4A3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E4A30">
              <w:rPr>
                <w:sz w:val="24"/>
                <w:szCs w:val="24"/>
                <w:lang w:eastAsia="zh-CN"/>
              </w:rPr>
              <w:t>Не позднее, чем за 5 дн</w:t>
            </w:r>
            <w:r>
              <w:rPr>
                <w:sz w:val="24"/>
                <w:szCs w:val="24"/>
                <w:lang w:eastAsia="zh-CN"/>
              </w:rPr>
              <w:t>ей</w:t>
            </w:r>
            <w:r w:rsidRPr="00AE4A30">
              <w:rPr>
                <w:sz w:val="24"/>
                <w:szCs w:val="24"/>
                <w:lang w:eastAsia="zh-CN"/>
              </w:rPr>
              <w:t xml:space="preserve"> до даты защиты ВКР</w:t>
            </w:r>
          </w:p>
        </w:tc>
      </w:tr>
    </w:tbl>
    <w:p w14:paraId="543D1772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b/>
          <w:szCs w:val="24"/>
        </w:rPr>
      </w:pPr>
    </w:p>
    <w:p w14:paraId="46B94742" w14:textId="255C7161" w:rsidR="00EF2662" w:rsidRPr="003F2566" w:rsidRDefault="00EF2662" w:rsidP="003F2566">
      <w:pPr>
        <w:pStyle w:val="2"/>
        <w:keepLines w:val="0"/>
        <w:widowControl/>
        <w:numPr>
          <w:ilvl w:val="0"/>
          <w:numId w:val="27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График подготовки ВКР</w:t>
      </w:r>
    </w:p>
    <w:p w14:paraId="4CEF7675" w14:textId="33378866" w:rsidR="00EF2662" w:rsidRPr="005F211E" w:rsidRDefault="003F2566" w:rsidP="003F2566">
      <w:pPr>
        <w:pStyle w:val="3"/>
        <w:numPr>
          <w:ilvl w:val="0"/>
          <w:numId w:val="0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6.1. </w:t>
      </w:r>
      <w:r w:rsidR="00EF2662" w:rsidRPr="005F211E">
        <w:rPr>
          <w:b w:val="0"/>
          <w:i w:val="0"/>
          <w:sz w:val="24"/>
          <w:szCs w:val="24"/>
        </w:rPr>
        <w:t>График выполнения ВКР согласовывается с научным руководителем и предусматривает следующие этапы:</w:t>
      </w:r>
    </w:p>
    <w:p w14:paraId="19A04B49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а) предъявление проекта ВКР (который описывает актуальность, структуру работы, цели и задачи, план, список основных источников и литературы для выполнения данной работы, ожидаемый результат); </w:t>
      </w:r>
    </w:p>
    <w:p w14:paraId="3574EEC3" w14:textId="38D53452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б) первое предъявление готовой ВКР научному руководителю;</w:t>
      </w:r>
    </w:p>
    <w:p w14:paraId="61F86E0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в) представление итогового варианта ВКР научному руководителю;  </w:t>
      </w:r>
    </w:p>
    <w:p w14:paraId="12A0FAED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г</w:t>
      </w:r>
      <w:r w:rsidR="00EF2662" w:rsidRPr="005F211E">
        <w:rPr>
          <w:sz w:val="24"/>
          <w:szCs w:val="24"/>
        </w:rPr>
        <w:t xml:space="preserve">) загрузка работы в систему «Антиплагиат»; </w:t>
      </w:r>
    </w:p>
    <w:p w14:paraId="44C7126A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д</w:t>
      </w:r>
      <w:r w:rsidR="00EF2662" w:rsidRPr="005F211E">
        <w:rPr>
          <w:sz w:val="24"/>
          <w:szCs w:val="24"/>
        </w:rPr>
        <w:t>) предоставление работы рецензенту.</w:t>
      </w:r>
    </w:p>
    <w:p w14:paraId="241A4ED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План может включать в себя промежуточные этапы: предъявление текста отдельных глав ВКР.</w:t>
      </w:r>
    </w:p>
    <w:p w14:paraId="204E6764" w14:textId="217C0BCA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Завершённая ВКР должна быть представлена рецензенту не позднее 15 мая текущего учебного года в электронной форме.</w:t>
      </w:r>
    </w:p>
    <w:p w14:paraId="7AE13B65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Нарушения указанных сроков могут влиять на итоговую оценку в сторону ее понижения до 50%.</w:t>
      </w:r>
    </w:p>
    <w:p w14:paraId="2DB08A41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szCs w:val="24"/>
        </w:rPr>
      </w:pPr>
    </w:p>
    <w:p w14:paraId="68B49D21" w14:textId="77777777" w:rsidR="00EF2662" w:rsidRPr="005F211E" w:rsidRDefault="00EF2662" w:rsidP="003F2566">
      <w:pPr>
        <w:pStyle w:val="2"/>
        <w:keepLines w:val="0"/>
        <w:widowControl/>
        <w:numPr>
          <w:ilvl w:val="1"/>
          <w:numId w:val="27"/>
        </w:numPr>
        <w:spacing w:before="120" w:after="60" w:line="240" w:lineRule="auto"/>
        <w:rPr>
          <w:b w:val="0"/>
          <w:sz w:val="24"/>
          <w:szCs w:val="24"/>
        </w:rPr>
      </w:pPr>
      <w:r w:rsidRPr="005F211E">
        <w:rPr>
          <w:b w:val="0"/>
          <w:sz w:val="24"/>
          <w:szCs w:val="24"/>
        </w:rPr>
        <w:t>Порядок проведения аттестации</w:t>
      </w:r>
    </w:p>
    <w:p w14:paraId="73FCD9B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Обучающийся обязан представить окончательный вариант ВКР руководителю и рецензенту в установленный в графике выполнения ВКР срок. </w:t>
      </w:r>
    </w:p>
    <w:p w14:paraId="46387248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назначается руководителем ОП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7E850E4B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</w:t>
      </w:r>
    </w:p>
    <w:p w14:paraId="518240CA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Научный руководитель оценивает ВКР и предоставляет комиссии письменный отзыв с рекомендуемой оценкой. </w:t>
      </w:r>
    </w:p>
    <w:p w14:paraId="0CFC74CE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оценивает ВКР и предоставляет комиссии письменный отзыв с рекомендуемой оценкой. </w:t>
      </w:r>
    </w:p>
    <w:p w14:paraId="4C19BA2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Защита ВКР (порядок проведения и процедура защиты) регламентирована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ВШЭ. </w:t>
      </w:r>
    </w:p>
    <w:p w14:paraId="12068624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Возможность апелляции по ВКР производится в порядке, 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  <w:r w:rsidRPr="005F211E">
        <w:rPr>
          <w:i w:val="0"/>
          <w:sz w:val="24"/>
          <w:szCs w:val="24"/>
        </w:rPr>
        <w:t xml:space="preserve"> </w:t>
      </w:r>
    </w:p>
    <w:p w14:paraId="1F54DA1D" w14:textId="77777777" w:rsidR="00A5154C" w:rsidRPr="005F211E" w:rsidRDefault="00A5154C">
      <w:pPr>
        <w:pStyle w:val="affffe"/>
        <w:shd w:val="clear" w:color="auto" w:fill="FFFFFF"/>
        <w:spacing w:before="0" w:beforeAutospacing="0" w:after="0" w:afterAutospacing="0" w:line="276" w:lineRule="auto"/>
        <w:ind w:firstLine="709"/>
      </w:pPr>
    </w:p>
    <w:p w14:paraId="15404582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Оценивание</w:t>
      </w:r>
    </w:p>
    <w:p w14:paraId="5DB73DD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rPr>
          <w:color w:val="000000"/>
        </w:rPr>
      </w:pPr>
      <w:r w:rsidRPr="005F211E">
        <w:rPr>
          <w:color w:val="000000"/>
        </w:rPr>
        <w:t>Научный руководитель и рецензент оценивают выпускную квалификационную работу по следующим критериям:</w:t>
      </w:r>
    </w:p>
    <w:p w14:paraId="59CBD14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1)</w:t>
      </w:r>
      <w:r w:rsidRPr="005F211E">
        <w:rPr>
          <w:color w:val="000000"/>
        </w:rPr>
        <w:tab/>
        <w:t xml:space="preserve"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 </w:t>
      </w:r>
    </w:p>
    <w:p w14:paraId="7B291D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2)</w:t>
      </w:r>
      <w:r w:rsidRPr="005F211E">
        <w:rPr>
          <w:color w:val="000000"/>
        </w:rPr>
        <w:tab/>
        <w:t>Уровень фундированности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 w14:paraId="736E450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3)</w:t>
      </w:r>
      <w:r w:rsidRPr="005F211E">
        <w:rPr>
          <w:color w:val="000000"/>
        </w:rPr>
        <w:tab/>
        <w:t>Общее количество использованных источников и научных работ – не менее 15. Количество использованных источников и научных работ на иностранных языках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лишь те работы, на которые есть сноски в тексте.</w:t>
      </w:r>
    </w:p>
    <w:p w14:paraId="685BB48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4)</w:t>
      </w:r>
      <w:r w:rsidRPr="005F211E">
        <w:rPr>
          <w:color w:val="000000"/>
        </w:rPr>
        <w:tab/>
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</w:r>
    </w:p>
    <w:p w14:paraId="212875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5)</w:t>
      </w:r>
      <w:r w:rsidRPr="005F211E">
        <w:rPr>
          <w:color w:val="000000"/>
        </w:rPr>
        <w:tab/>
        <w:t>Наличие методологической базы исследования, в том числе применение теорий и концепций, обозначенных во Введении, в тексте основной части ВКР.</w:t>
      </w:r>
    </w:p>
    <w:p w14:paraId="284106BA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6)</w:t>
      </w:r>
      <w:r w:rsidRPr="005F211E">
        <w:rPr>
          <w:color w:val="000000"/>
        </w:rPr>
        <w:tab/>
        <w:t>Достоверность приводимой в работе фактической информации, отсутствие фактических ошибок.</w:t>
      </w:r>
    </w:p>
    <w:p w14:paraId="61ABCA3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7)</w:t>
      </w:r>
      <w:r w:rsidRPr="005F211E">
        <w:rPr>
          <w:color w:val="000000"/>
        </w:rPr>
        <w:tab/>
        <w:t>Соответствие выводов поставленной цели и задачам, применение при формулировке выводов методик сравнения и обобщения.</w:t>
      </w:r>
    </w:p>
    <w:p w14:paraId="16786B42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8)</w:t>
      </w:r>
      <w:r w:rsidRPr="005F211E">
        <w:rPr>
          <w:color w:val="000000"/>
        </w:rPr>
        <w:tab/>
        <w:t xml:space="preserve">Соответствие цели, задач, содержания и выводов ВКР утвержденной теме работы. </w:t>
      </w:r>
    </w:p>
    <w:p w14:paraId="24B771F5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9)</w:t>
      </w:r>
      <w:r w:rsidRPr="005F211E">
        <w:rPr>
          <w:color w:val="000000"/>
        </w:rPr>
        <w:tab/>
        <w:t xml:space="preserve">Соответствие ВКР требованиям к соблюдению авторских прав. Полное соответствие текста ВКР, оформления цитат, сносок требованиям к оформлению данного вида работ (подробнее см.: https://www.hse.ru/studyspravka/plagiat). </w:t>
      </w:r>
    </w:p>
    <w:p w14:paraId="2C9B999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10)</w:t>
      </w:r>
      <w:r w:rsidRPr="005F211E">
        <w:rPr>
          <w:color w:val="000000"/>
        </w:rPr>
        <w:tab/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правил транскрипции/транслитерации. </w:t>
      </w:r>
    </w:p>
    <w:p w14:paraId="685F608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11)</w:t>
      </w:r>
      <w:r w:rsidRPr="005F211E">
        <w:rPr>
          <w:color w:val="000000"/>
        </w:rPr>
        <w:tab/>
        <w:t>Научная значимость и новизна выполненного исследования. Наличие исследовательского компонента в работе.</w:t>
      </w:r>
    </w:p>
    <w:p w14:paraId="2E065FB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12)</w:t>
      </w:r>
      <w:r w:rsidRPr="005F211E">
        <w:rPr>
          <w:color w:val="000000"/>
        </w:rPr>
        <w:tab/>
        <w:t>Соблюдение графика подготовки и представления ВКР.</w:t>
      </w:r>
    </w:p>
    <w:p w14:paraId="4592354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1512200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В письменных отзывах научный руководитель и рецензент дают характеристику работе, отмечают её сильные и слабые стороны, определяют итоговую оценку по 10-балльной шкале и указывают, на сколько баллов и по какому критерию снижена оценка (Приложение 4).</w:t>
      </w:r>
    </w:p>
    <w:p w14:paraId="7362D04E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Оценка может быть снижена за несоответствие ВКР перечисленным выше критериям на 1-5 баллов по каждому критерию.</w:t>
      </w:r>
    </w:p>
    <w:p w14:paraId="30DE2989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55EC4782" w14:textId="77777777" w:rsidR="00983D18" w:rsidRPr="005F211E" w:rsidRDefault="009E4907" w:rsidP="009E4907">
      <w:pPr>
        <w:pStyle w:val="affff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5F211E">
        <w:rPr>
          <w:color w:val="000000"/>
        </w:rPr>
        <w:t>Итоговая оценка может быть снижена до «0» баллов, если выявляется факт плагиата в тексте ВКР.</w:t>
      </w:r>
      <w:r w:rsidR="00026D4B" w:rsidRPr="005F211E">
        <w:rPr>
          <w:color w:val="000000"/>
        </w:rPr>
        <w:t>.</w:t>
      </w:r>
    </w:p>
    <w:p w14:paraId="64801ECA" w14:textId="77777777" w:rsidR="00013CFD" w:rsidRPr="005F211E" w:rsidRDefault="00013CFD">
      <w:pPr>
        <w:pStyle w:val="affffe"/>
        <w:spacing w:before="0" w:beforeAutospacing="0" w:after="0" w:afterAutospacing="0" w:line="276" w:lineRule="auto"/>
        <w:ind w:firstLine="709"/>
        <w:jc w:val="both"/>
        <w:rPr>
          <w:i/>
          <w:color w:val="000000"/>
          <w:u w:val="single"/>
        </w:rPr>
      </w:pPr>
    </w:p>
    <w:p w14:paraId="632D59A3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Дополнительные сведения</w:t>
      </w:r>
    </w:p>
    <w:p w14:paraId="2BB37E14" w14:textId="77777777" w:rsidR="0026693C" w:rsidRPr="005F211E" w:rsidRDefault="0026693C" w:rsidP="0026693C">
      <w:pPr>
        <w:keepNext/>
        <w:suppressAutoHyphens/>
        <w:spacing w:before="100" w:after="60" w:line="252" w:lineRule="auto"/>
        <w:ind w:right="-1" w:firstLine="0"/>
        <w:outlineLvl w:val="2"/>
        <w:rPr>
          <w:bCs/>
          <w:color w:val="1A1A1A"/>
          <w:sz w:val="24"/>
          <w:szCs w:val="24"/>
          <w:lang w:eastAsia="zh-CN"/>
        </w:rPr>
      </w:pPr>
      <w:r w:rsidRPr="005F211E">
        <w:rPr>
          <w:bCs/>
          <w:color w:val="1A1A1A"/>
          <w:sz w:val="24"/>
          <w:szCs w:val="24"/>
          <w:lang w:eastAsia="zh-CN"/>
        </w:rPr>
        <w:t>Примеры тем ВКР</w:t>
      </w:r>
    </w:p>
    <w:p w14:paraId="1FF883FC" w14:textId="77777777" w:rsidR="0026693C" w:rsidRPr="005F211E" w:rsidRDefault="0026693C" w:rsidP="0026693C">
      <w:pPr>
        <w:rPr>
          <w:sz w:val="24"/>
          <w:szCs w:val="24"/>
          <w:lang w:eastAsia="zh-CN"/>
        </w:rPr>
      </w:pPr>
    </w:p>
    <w:p w14:paraId="1BEC0F4D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Политические отношения Китая и Вьетнама в материалах СМИ обеих стран в 2014-2018 гг.</w:t>
      </w:r>
    </w:p>
    <w:p w14:paraId="4A13ABA7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культуры общения и поведения японцев. Недосказанность и подтекст</w:t>
      </w:r>
    </w:p>
    <w:p w14:paraId="6FAD05B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Языковая политика Сянгана – динамика, тенденции и основная стратегия развития</w:t>
      </w:r>
    </w:p>
    <w:p w14:paraId="5BC1852A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развития сферы услуг в КНР, Японии и Республике Корея (на примере туристических услуг)</w:t>
      </w:r>
    </w:p>
    <w:p w14:paraId="2A1E78F2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Страны Восточной Азии в системе международной торговли высокотехнологичными товарами</w:t>
      </w:r>
    </w:p>
    <w:p w14:paraId="6E12A9D6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Способы легитимизации системы социального кредита в Китае</w:t>
      </w:r>
    </w:p>
    <w:p w14:paraId="5D0A735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Политическая история и современные политические процессы в Ливане 1990-2018 гг</w:t>
      </w:r>
    </w:p>
    <w:p w14:paraId="74F7F9DE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Проблема распределения водных ресурсов в бассейне реки Иордан (1948 - 2010 гг.)</w:t>
      </w:r>
    </w:p>
    <w:p w14:paraId="6839A000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Типология кочевых народов Магриба</w:t>
      </w:r>
    </w:p>
    <w:p w14:paraId="05BBFEA3" w14:textId="2CE8C907" w:rsidR="005F211E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Курды и их влияние на политику Турции. История и современность</w:t>
      </w:r>
    </w:p>
    <w:p w14:paraId="7974D653" w14:textId="77777777" w:rsidR="005F211E" w:rsidRPr="005F211E" w:rsidRDefault="005F211E">
      <w:pPr>
        <w:spacing w:after="200" w:line="276" w:lineRule="auto"/>
        <w:ind w:firstLine="0"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br w:type="page"/>
      </w:r>
    </w:p>
    <w:p w14:paraId="4B933C3E" w14:textId="77777777" w:rsidR="005F211E" w:rsidRPr="005F211E" w:rsidRDefault="005F211E" w:rsidP="005F211E">
      <w:pPr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</w:p>
    <w:p w14:paraId="6A7AE2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1</w:t>
      </w:r>
    </w:p>
    <w:p w14:paraId="0744A9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7036C18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7FAC5F1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12C8F4F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26A41B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 студента ______ курса______группы</w:t>
      </w:r>
    </w:p>
    <w:p w14:paraId="01687D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20B2A7A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00D6E6B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F5D1A0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41BBB10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 выборе темы ВКР</w:t>
      </w:r>
    </w:p>
    <w:p w14:paraId="5883559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178AD2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4D9846D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</w:t>
      </w:r>
    </w:p>
    <w:p w14:paraId="65E2F92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F7E2756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35B7EEFA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C57B366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</w:t>
      </w:r>
    </w:p>
    <w:p w14:paraId="7B8A544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04D0FEBE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0C980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D5C91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34A8A9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DB3FEA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2D3C214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6D69DC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2270B3F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58B4D32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2C16A4B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руководство.</w:t>
      </w:r>
    </w:p>
    <w:p w14:paraId="7BB9D6D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375136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5D767A4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53E25E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bookmarkStart w:id="1" w:name="_Hlk527490174"/>
      <w:r w:rsidRPr="005F211E">
        <w:rPr>
          <w:rFonts w:eastAsia="Calibri"/>
          <w:sz w:val="24"/>
          <w:szCs w:val="24"/>
          <w:lang w:eastAsia="zh-CN"/>
        </w:rPr>
        <w:t>Приложение 2</w:t>
      </w:r>
    </w:p>
    <w:bookmarkEnd w:id="1"/>
    <w:p w14:paraId="5C3FD6A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181B453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693B732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28BD51A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1F2F74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 студента 4 курса______группы</w:t>
      </w:r>
    </w:p>
    <w:p w14:paraId="6105E0D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398FAE3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581A519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4B9B64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639264C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об изменении темы ВКР</w:t>
      </w:r>
    </w:p>
    <w:p w14:paraId="0231463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75E911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В связи с </w:t>
      </w: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</w:t>
      </w:r>
    </w:p>
    <w:p w14:paraId="41F1815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_____________________________________________________________________________</w:t>
      </w:r>
    </w:p>
    <w:p w14:paraId="68FBD0D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1F882AC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5DD6670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  </w:t>
      </w:r>
    </w:p>
    <w:p w14:paraId="59AFAA3B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1EB8130E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6BFD535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  </w:t>
      </w:r>
    </w:p>
    <w:p w14:paraId="586312E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6BD991D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4BCE87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E2E940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4BF12A2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DEC008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61DDF2E5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ABC14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3C74261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EE6509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 данной темой.</w:t>
      </w:r>
    </w:p>
    <w:p w14:paraId="74AEA3F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AD454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6EC441DC" w14:textId="77777777" w:rsidR="005F211E" w:rsidRPr="005F211E" w:rsidRDefault="005F211E" w:rsidP="005F211E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br w:type="page"/>
      </w:r>
    </w:p>
    <w:p w14:paraId="7A1F755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3 оформление титульного листа</w:t>
      </w:r>
    </w:p>
    <w:p w14:paraId="23E5F535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ФЕДЕРАЛЬНОЕ ГОСУДАРСТВЕННОЕ АВТОНОМНОЕ ОБРАЗОВАТЕЛЬНОЕ УЧРЕЖДЕНИЕ</w:t>
      </w:r>
    </w:p>
    <w:p w14:paraId="47FCC14E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ВЫСШЕГО ОБРАЗОВАНИЯ</w:t>
      </w:r>
    </w:p>
    <w:p w14:paraId="46909903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«НАЦИОНАЛЬНЫЙ ИССЛЕДОВАТЕЛЬСКИЙ УНИВЕРСИТЕТ</w:t>
      </w:r>
    </w:p>
    <w:p w14:paraId="344AF377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«ВЫСШАЯ ШКОЛА ЭКОНОМИКИ»</w:t>
      </w:r>
    </w:p>
    <w:p w14:paraId="3A6ADADF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05B7128" w14:textId="77777777" w:rsidR="005F211E" w:rsidRPr="005F211E" w:rsidRDefault="005F211E" w:rsidP="005F211E">
      <w:pPr>
        <w:keepNext/>
        <w:keepLines/>
        <w:numPr>
          <w:ilvl w:val="0"/>
          <w:numId w:val="23"/>
        </w:numPr>
        <w:tabs>
          <w:tab w:val="num" w:pos="0"/>
        </w:tabs>
        <w:suppressAutoHyphens/>
        <w:spacing w:after="60" w:line="240" w:lineRule="auto"/>
        <w:ind w:left="1152" w:hanging="1150"/>
        <w:jc w:val="center"/>
        <w:outlineLvl w:val="5"/>
        <w:rPr>
          <w:rFonts w:eastAsia="Calibri"/>
          <w:b/>
          <w:i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Факультет Санкт-Петербургская школа социальных наук и востоковедения</w:t>
      </w:r>
    </w:p>
    <w:p w14:paraId="3F10E4B2" w14:textId="77777777" w:rsidR="005F211E" w:rsidRPr="005F211E" w:rsidRDefault="005F211E" w:rsidP="005F211E">
      <w:pPr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Департамент</w:t>
      </w:r>
      <w:r w:rsidRPr="005F211E">
        <w:rPr>
          <w:rFonts w:eastAsia="Calibri"/>
          <w:sz w:val="24"/>
          <w:szCs w:val="24"/>
          <w:lang w:eastAsia="zh-CN"/>
        </w:rPr>
        <w:t xml:space="preserve"> </w:t>
      </w:r>
      <w:r w:rsidRPr="005F211E">
        <w:rPr>
          <w:rFonts w:eastAsia="Calibri"/>
          <w:b/>
          <w:sz w:val="24"/>
          <w:szCs w:val="24"/>
          <w:lang w:eastAsia="zh-CN"/>
        </w:rPr>
        <w:t>востоковедения и африканистики</w:t>
      </w:r>
    </w:p>
    <w:p w14:paraId="0622605A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bookmarkStart w:id="2" w:name="_MON_1601231586"/>
    <w:bookmarkEnd w:id="2"/>
    <w:p w14:paraId="6FD70E7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2690" w14:anchorId="151EC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14" o:title=""/>
          </v:shape>
          <o:OLEObject Type="Embed" ProgID="Word.Document.12" ShapeID="_x0000_i1025" DrawAspect="Content" ObjectID="_1641811177" r:id="rId15"/>
        </w:object>
      </w:r>
    </w:p>
    <w:bookmarkStart w:id="3" w:name="_MON_1601231923"/>
    <w:bookmarkEnd w:id="3"/>
    <w:p w14:paraId="28521CA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noProof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576" w14:anchorId="57FACCE4">
          <v:shape id="_x0000_i1026" type="#_x0000_t75" style="width:468pt;height:28.5pt" o:ole="">
            <v:imagedata r:id="rId16" o:title=""/>
          </v:shape>
          <o:OLEObject Type="Embed" ProgID="Word.Document.12" ShapeID="_x0000_i1026" DrawAspect="Content" ObjectID="_1641811178" r:id="rId17"/>
        </w:object>
      </w:r>
    </w:p>
    <w:p w14:paraId="7121380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4800"/>
        <w:gridCol w:w="4944"/>
      </w:tblGrid>
      <w:tr w:rsidR="005F211E" w:rsidRPr="005F211E" w14:paraId="2A9CC2E9" w14:textId="77777777" w:rsidTr="00E74004">
        <w:trPr>
          <w:trHeight w:val="2035"/>
        </w:trPr>
        <w:tc>
          <w:tcPr>
            <w:tcW w:w="4800" w:type="dxa"/>
          </w:tcPr>
          <w:p w14:paraId="226E97AB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7BD47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3604AD7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023C42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7286F1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944" w:type="dxa"/>
          </w:tcPr>
          <w:p w14:paraId="053AD9A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Научный руководитель</w:t>
            </w:r>
          </w:p>
          <w:p w14:paraId="3DBC2DF6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Канд. …. наук, доц.</w:t>
            </w:r>
          </w:p>
          <w:p w14:paraId="773C17D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576BC5BC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5C8D9855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Рецензент</w:t>
            </w:r>
          </w:p>
          <w:p w14:paraId="3F19E951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Д. …. наук, проф.</w:t>
            </w:r>
          </w:p>
          <w:p w14:paraId="6018AC9A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2DA28A88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4FA93D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AEE3D22" w14:textId="77777777" w:rsidR="005F211E" w:rsidRPr="005F211E" w:rsidRDefault="005F211E" w:rsidP="005F211E">
      <w:pPr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</w:t>
      </w:r>
    </w:p>
    <w:p w14:paraId="00AC2F0D" w14:textId="77777777" w:rsidR="005F211E" w:rsidRPr="005F211E" w:rsidRDefault="005F211E" w:rsidP="005F211E">
      <w:pPr>
        <w:tabs>
          <w:tab w:val="left" w:pos="2805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201_</w:t>
      </w:r>
    </w:p>
    <w:p w14:paraId="6895B6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4</w:t>
      </w:r>
    </w:p>
    <w:p w14:paraId="527BB05F" w14:textId="77777777" w:rsidR="005F211E" w:rsidRPr="005F211E" w:rsidRDefault="005F211E" w:rsidP="005F211E">
      <w:pPr>
        <w:keepNext/>
        <w:keepLines/>
        <w:spacing w:before="200" w:line="240" w:lineRule="auto"/>
        <w:ind w:firstLine="0"/>
        <w:outlineLvl w:val="1"/>
        <w:rPr>
          <w:rFonts w:eastAsia="MS Gothic"/>
          <w:b/>
          <w:bCs/>
          <w:sz w:val="24"/>
          <w:szCs w:val="24"/>
        </w:rPr>
      </w:pPr>
      <w:r w:rsidRPr="005F211E">
        <w:rPr>
          <w:rFonts w:eastAsia="MS Gothic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F211E">
        <w:rPr>
          <w:rFonts w:eastAsia="MS Gothic"/>
          <w:b/>
          <w:bCs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5F211E">
        <w:rPr>
          <w:rFonts w:eastAsia="MS Gothic"/>
          <w:b/>
          <w:bCs/>
          <w:sz w:val="24"/>
          <w:szCs w:val="24"/>
        </w:rPr>
        <w:t>»</w:t>
      </w:r>
    </w:p>
    <w:p w14:paraId="6E2A1C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Санкт-Петербургская школа социальных наук и востоковедения</w:t>
      </w:r>
    </w:p>
    <w:p w14:paraId="609DF5B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Департамент востоковедения и африканистики</w:t>
      </w:r>
    </w:p>
    <w:p w14:paraId="26E7A8E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Отзыв руководителя/рецензента на Выпускную квалификационную работу студента (ки) 4 курса ОП «Востоковедение» НИУ ВШЭ Санкт-Петербург _____________________________________________________________________________</w:t>
      </w:r>
    </w:p>
    <w:p w14:paraId="204837D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(ФИО студента)</w:t>
      </w:r>
    </w:p>
    <w:p w14:paraId="0D93A96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74D6638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FB60C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60DB3C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36B6B8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1AD4C7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FF97E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17A2A1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6ACA57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Оценка ВКР студента по 10-балльной шкале: ____ баллов.</w:t>
      </w:r>
    </w:p>
    <w:p w14:paraId="3854B78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Баллы снижены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  <w:gridCol w:w="1499"/>
      </w:tblGrid>
      <w:tr w:rsidR="005F211E" w:rsidRPr="005F211E" w14:paraId="5C067B6B" w14:textId="77777777" w:rsidTr="00E74004">
        <w:tc>
          <w:tcPr>
            <w:tcW w:w="0" w:type="auto"/>
            <w:shd w:val="clear" w:color="auto" w:fill="auto"/>
            <w:vAlign w:val="center"/>
          </w:tcPr>
          <w:p w14:paraId="25115BB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499" w:type="dxa"/>
            <w:shd w:val="clear" w:color="auto" w:fill="auto"/>
          </w:tcPr>
          <w:p w14:paraId="25F8FCC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Количество баллов, на которое снижена оценка</w:t>
            </w:r>
          </w:p>
        </w:tc>
      </w:tr>
      <w:tr w:rsidR="005F211E" w:rsidRPr="005F211E" w14:paraId="6BDE3A6C" w14:textId="77777777" w:rsidTr="00E74004">
        <w:tc>
          <w:tcPr>
            <w:tcW w:w="0" w:type="auto"/>
            <w:shd w:val="clear" w:color="auto" w:fill="auto"/>
          </w:tcPr>
          <w:p w14:paraId="7FB98DE3" w14:textId="77777777" w:rsidR="005F211E" w:rsidRPr="005F211E" w:rsidRDefault="005F211E" w:rsidP="005F211E">
            <w:pPr>
              <w:suppressAutoHyphens/>
              <w:spacing w:before="100" w:after="160" w:line="252" w:lineRule="auto"/>
              <w:ind w:right="-1" w:firstLine="0"/>
              <w:contextualSpacing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</w:t>
            </w:r>
          </w:p>
        </w:tc>
        <w:tc>
          <w:tcPr>
            <w:tcW w:w="1499" w:type="dxa"/>
            <w:shd w:val="clear" w:color="auto" w:fill="auto"/>
          </w:tcPr>
          <w:p w14:paraId="0C852B63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9D03E37" w14:textId="77777777" w:rsidTr="00E74004">
        <w:tc>
          <w:tcPr>
            <w:tcW w:w="0" w:type="auto"/>
            <w:shd w:val="clear" w:color="auto" w:fill="auto"/>
          </w:tcPr>
          <w:p w14:paraId="477429AF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Уровень фундированности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 </w:t>
            </w:r>
          </w:p>
        </w:tc>
        <w:tc>
          <w:tcPr>
            <w:tcW w:w="1499" w:type="dxa"/>
            <w:shd w:val="clear" w:color="auto" w:fill="auto"/>
          </w:tcPr>
          <w:p w14:paraId="4E700081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4CB9F17" w14:textId="77777777" w:rsidTr="00E74004">
        <w:tc>
          <w:tcPr>
            <w:tcW w:w="0" w:type="auto"/>
            <w:shd w:val="clear" w:color="auto" w:fill="auto"/>
          </w:tcPr>
          <w:p w14:paraId="04EF864C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Общее количество использованных источников и научных работ – не менее 15. Количество использованных источников и научных работ на иностранных языках должно составлять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>лишь те работы, на которые есть сноски в тексте.</w:t>
            </w:r>
          </w:p>
        </w:tc>
        <w:tc>
          <w:tcPr>
            <w:tcW w:w="1499" w:type="dxa"/>
            <w:shd w:val="clear" w:color="auto" w:fill="auto"/>
          </w:tcPr>
          <w:p w14:paraId="73FFBB91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</w:p>
        </w:tc>
      </w:tr>
      <w:tr w:rsidR="005F211E" w:rsidRPr="005F211E" w14:paraId="1EABA1B1" w14:textId="77777777" w:rsidTr="00E74004">
        <w:tc>
          <w:tcPr>
            <w:tcW w:w="0" w:type="auto"/>
            <w:shd w:val="clear" w:color="auto" w:fill="auto"/>
          </w:tcPr>
          <w:p w14:paraId="02A3011D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      </w:r>
          </w:p>
        </w:tc>
        <w:tc>
          <w:tcPr>
            <w:tcW w:w="1499" w:type="dxa"/>
            <w:shd w:val="clear" w:color="auto" w:fill="auto"/>
          </w:tcPr>
          <w:p w14:paraId="426E5B26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6CD9851" w14:textId="77777777" w:rsidTr="00E74004">
        <w:tc>
          <w:tcPr>
            <w:tcW w:w="0" w:type="auto"/>
            <w:shd w:val="clear" w:color="auto" w:fill="auto"/>
          </w:tcPr>
          <w:p w14:paraId="3966C876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методологической базы исследования, в том числе применение теорий и концепций, обозначенных во введении, при написании основной части ВКР.</w:t>
            </w:r>
          </w:p>
        </w:tc>
        <w:tc>
          <w:tcPr>
            <w:tcW w:w="1499" w:type="dxa"/>
            <w:shd w:val="clear" w:color="auto" w:fill="auto"/>
          </w:tcPr>
          <w:p w14:paraId="3725237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034FD27" w14:textId="77777777" w:rsidTr="00E74004">
        <w:tc>
          <w:tcPr>
            <w:tcW w:w="0" w:type="auto"/>
            <w:shd w:val="clear" w:color="auto" w:fill="auto"/>
          </w:tcPr>
          <w:p w14:paraId="38593557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499" w:type="dxa"/>
            <w:shd w:val="clear" w:color="auto" w:fill="auto"/>
          </w:tcPr>
          <w:p w14:paraId="5160233F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BB157BC" w14:textId="77777777" w:rsidTr="00E74004">
        <w:tc>
          <w:tcPr>
            <w:tcW w:w="0" w:type="auto"/>
            <w:shd w:val="clear" w:color="auto" w:fill="auto"/>
          </w:tcPr>
          <w:p w14:paraId="3BE0B622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применение при формулировке выводов методик сравнения и обобщения.</w:t>
            </w:r>
          </w:p>
        </w:tc>
        <w:tc>
          <w:tcPr>
            <w:tcW w:w="1499" w:type="dxa"/>
            <w:shd w:val="clear" w:color="auto" w:fill="auto"/>
          </w:tcPr>
          <w:p w14:paraId="36B7FEA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02B86183" w14:textId="77777777" w:rsidTr="00E74004">
        <w:tc>
          <w:tcPr>
            <w:tcW w:w="0" w:type="auto"/>
            <w:shd w:val="clear" w:color="auto" w:fill="auto"/>
          </w:tcPr>
          <w:p w14:paraId="6D7FA5EE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цели, задач, содержания и выводов ВКР утвержденной теме работы. </w:t>
            </w:r>
          </w:p>
        </w:tc>
        <w:tc>
          <w:tcPr>
            <w:tcW w:w="1499" w:type="dxa"/>
            <w:shd w:val="clear" w:color="auto" w:fill="auto"/>
          </w:tcPr>
          <w:p w14:paraId="550D851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FCD47D3" w14:textId="77777777" w:rsidTr="00E74004">
        <w:tc>
          <w:tcPr>
            <w:tcW w:w="0" w:type="auto"/>
            <w:shd w:val="clear" w:color="auto" w:fill="auto"/>
          </w:tcPr>
          <w:p w14:paraId="76818600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ВКР требованиям к соблюдению авторских прав. </w:t>
            </w:r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Полное соответствие текста ВКР, оформления цитат, сносок требованиям к оформлению данного вида работ (подробнее см.: </w:t>
            </w:r>
            <w:hyperlink r:id="rId18" w:history="1">
              <w:r w:rsidRPr="005F211E">
                <w:rPr>
                  <w:rFonts w:eastAsia="Helvetica"/>
                  <w:color w:val="0000FF"/>
                  <w:sz w:val="24"/>
                  <w:szCs w:val="24"/>
                  <w:u w:val="single"/>
                  <w:lang w:eastAsia="zh-CN"/>
                </w:rPr>
                <w:t>https://www.hse.ru/studyspravka/plagiat</w:t>
              </w:r>
            </w:hyperlink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). </w:t>
            </w:r>
          </w:p>
        </w:tc>
        <w:tc>
          <w:tcPr>
            <w:tcW w:w="1499" w:type="dxa"/>
            <w:shd w:val="clear" w:color="auto" w:fill="auto"/>
          </w:tcPr>
          <w:p w14:paraId="61FE9CAB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F5C84CC" w14:textId="77777777" w:rsidTr="00E74004">
        <w:tc>
          <w:tcPr>
            <w:tcW w:w="0" w:type="auto"/>
            <w:shd w:val="clear" w:color="auto" w:fill="auto"/>
          </w:tcPr>
          <w:p w14:paraId="01496597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 xml:space="preserve">правил транскрипции/транслитерации. </w:t>
            </w:r>
          </w:p>
        </w:tc>
        <w:tc>
          <w:tcPr>
            <w:tcW w:w="1499" w:type="dxa"/>
            <w:shd w:val="clear" w:color="auto" w:fill="auto"/>
          </w:tcPr>
          <w:p w14:paraId="77CAEFC0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AC244FC" w14:textId="77777777" w:rsidTr="00E74004">
        <w:tc>
          <w:tcPr>
            <w:tcW w:w="0" w:type="auto"/>
            <w:shd w:val="clear" w:color="auto" w:fill="auto"/>
          </w:tcPr>
          <w:p w14:paraId="5B5F68A4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Научная значимость и новизна выполненного исследования.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исследовательского компонента в работе.</w:t>
            </w:r>
          </w:p>
        </w:tc>
        <w:tc>
          <w:tcPr>
            <w:tcW w:w="1499" w:type="dxa"/>
            <w:shd w:val="clear" w:color="auto" w:fill="auto"/>
          </w:tcPr>
          <w:p w14:paraId="763E2FF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5E4F802" w14:textId="77777777" w:rsidTr="00E74004">
        <w:tc>
          <w:tcPr>
            <w:tcW w:w="0" w:type="auto"/>
            <w:shd w:val="clear" w:color="auto" w:fill="auto"/>
          </w:tcPr>
          <w:p w14:paraId="19DD4AF2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ВКР (оценивается научным руководителем)</w:t>
            </w:r>
          </w:p>
        </w:tc>
        <w:tc>
          <w:tcPr>
            <w:tcW w:w="1499" w:type="dxa"/>
            <w:shd w:val="clear" w:color="auto" w:fill="auto"/>
          </w:tcPr>
          <w:p w14:paraId="5990DFC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C0B3918" w14:textId="77777777" w:rsidR="005F211E" w:rsidRPr="005F211E" w:rsidRDefault="005F211E" w:rsidP="005F211E">
      <w:pPr>
        <w:suppressAutoHyphens/>
        <w:spacing w:before="100" w:after="160" w:line="252" w:lineRule="auto"/>
        <w:ind w:left="360" w:right="-1" w:firstLine="0"/>
        <w:rPr>
          <w:rFonts w:eastAsia="Calibri"/>
          <w:sz w:val="24"/>
          <w:szCs w:val="24"/>
          <w:lang w:eastAsia="zh-CN"/>
        </w:rPr>
      </w:pPr>
    </w:p>
    <w:p w14:paraId="3671504D" w14:textId="68882908" w:rsidR="00673156" w:rsidRPr="00574E09" w:rsidRDefault="005F211E" w:rsidP="00C775F8">
      <w:pPr>
        <w:tabs>
          <w:tab w:val="left" w:pos="993"/>
        </w:tabs>
        <w:suppressAutoHyphens/>
        <w:spacing w:after="160" w:line="252" w:lineRule="auto"/>
        <w:ind w:firstLine="0"/>
        <w:rPr>
          <w:color w:val="000000"/>
          <w:sz w:val="26"/>
          <w:szCs w:val="26"/>
        </w:rPr>
      </w:pPr>
      <w:r w:rsidRPr="005F211E">
        <w:rPr>
          <w:rFonts w:eastAsia="Calibri"/>
          <w:sz w:val="24"/>
          <w:szCs w:val="24"/>
          <w:lang w:eastAsia="zh-CN"/>
        </w:rPr>
        <w:t>ФИО, ученая степень, звание, должность                                                   Дата, подпись</w:t>
      </w:r>
    </w:p>
    <w:p w14:paraId="34226F3E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28126C20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65CACFDB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3094E24C" w14:textId="77777777" w:rsidR="00013CFD" w:rsidRPr="00574E09" w:rsidRDefault="00013CFD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sectPr w:rsidR="00013CFD" w:rsidRPr="00574E09" w:rsidSect="004404A4">
      <w:headerReference w:type="even" r:id="rId19"/>
      <w:footerReference w:type="even" r:id="rId20"/>
      <w:footerReference w:type="default" r:id="rId2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DD38" w14:textId="77777777" w:rsidR="009D0684" w:rsidRDefault="009D0684" w:rsidP="00745935">
      <w:pPr>
        <w:spacing w:line="240" w:lineRule="auto"/>
      </w:pPr>
      <w:r>
        <w:separator/>
      </w:r>
    </w:p>
  </w:endnote>
  <w:endnote w:type="continuationSeparator" w:id="0">
    <w:p w14:paraId="2820876B" w14:textId="77777777" w:rsidR="009D0684" w:rsidRDefault="009D0684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518F" w14:textId="77777777" w:rsidR="00933F5F" w:rsidRDefault="00933F5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14:paraId="29BBBEFB" w14:textId="77777777" w:rsidR="00933F5F" w:rsidRDefault="00933F5F">
    <w:pPr>
      <w:pStyle w:val="af"/>
      <w:ind w:right="360"/>
    </w:pPr>
  </w:p>
  <w:p w14:paraId="229A6978" w14:textId="77777777" w:rsidR="00933F5F" w:rsidRDefault="00933F5F"/>
  <w:p w14:paraId="18CCE29C" w14:textId="77777777" w:rsidR="00933F5F" w:rsidRDefault="00933F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2C0297CC" w14:textId="77777777" w:rsidR="00933F5F" w:rsidRDefault="00933F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2A">
          <w:rPr>
            <w:noProof/>
          </w:rPr>
          <w:t>2</w:t>
        </w:r>
        <w:r>
          <w:fldChar w:fldCharType="end"/>
        </w:r>
      </w:p>
    </w:sdtContent>
  </w:sdt>
  <w:p w14:paraId="7A863749" w14:textId="77777777" w:rsidR="00933F5F" w:rsidRDefault="00933F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ADF0" w14:textId="77777777" w:rsidR="009D0684" w:rsidRDefault="009D0684" w:rsidP="00745935">
      <w:pPr>
        <w:spacing w:line="240" w:lineRule="auto"/>
      </w:pPr>
      <w:r>
        <w:separator/>
      </w:r>
    </w:p>
  </w:footnote>
  <w:footnote w:type="continuationSeparator" w:id="0">
    <w:p w14:paraId="382DE5A6" w14:textId="77777777" w:rsidR="009D0684" w:rsidRDefault="009D0684" w:rsidP="00745935">
      <w:pPr>
        <w:spacing w:line="240" w:lineRule="auto"/>
      </w:pPr>
      <w:r>
        <w:continuationSeparator/>
      </w:r>
    </w:p>
  </w:footnote>
  <w:footnote w:id="1">
    <w:p w14:paraId="3BBFC8BA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r w:rsidRPr="00976562">
        <w:rPr>
          <w:rStyle w:val="affff9"/>
        </w:rPr>
        <w:t>Вып. 4, ч. 1</w:t>
      </w:r>
      <w:r w:rsidRPr="00976562">
        <w:rPr>
          <w:b/>
          <w:bCs/>
        </w:rPr>
        <w:t>.</w:t>
      </w:r>
      <w:r w:rsidRPr="00976562">
        <w:t xml:space="preserve"> С. 54.</w:t>
      </w:r>
    </w:p>
  </w:footnote>
  <w:footnote w:id="2">
    <w:p w14:paraId="47845D10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Указ. Соч. С. 56.</w:t>
      </w:r>
    </w:p>
  </w:footnote>
  <w:footnote w:id="3">
    <w:p w14:paraId="3BF31251" w14:textId="77777777" w:rsidR="00933F5F" w:rsidRPr="00976562" w:rsidRDefault="00933F5F" w:rsidP="00EF2662">
      <w:pPr>
        <w:pStyle w:val="afe"/>
        <w:rPr>
          <w:b/>
          <w:bCs/>
        </w:rPr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r w:rsidRPr="00976562">
        <w:rPr>
          <w:rStyle w:val="affff9"/>
        </w:rPr>
        <w:t>Вып. 4, ч. 1</w:t>
      </w:r>
      <w:r w:rsidRPr="00976562">
        <w:rPr>
          <w:b/>
          <w:bCs/>
        </w:rPr>
        <w:t xml:space="preserve">. </w:t>
      </w:r>
      <w:r w:rsidRPr="00976562">
        <w:t>С. 54.</w:t>
      </w:r>
    </w:p>
  </w:footnote>
  <w:footnote w:id="4">
    <w:p w14:paraId="77128FA7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Там же. С. 56.</w:t>
      </w:r>
    </w:p>
  </w:footnote>
  <w:footnote w:id="5">
    <w:p w14:paraId="1E1DFEE5" w14:textId="77777777" w:rsidR="00933F5F" w:rsidRPr="00C052EA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Касевич. СПб.: КАРО, 2013 – с. 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6F18" w14:textId="77777777" w:rsidR="00933F5F" w:rsidRDefault="00933F5F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917B933" w14:textId="77777777" w:rsidR="00933F5F" w:rsidRDefault="00933F5F">
    <w:pPr>
      <w:pStyle w:val="af2"/>
    </w:pPr>
  </w:p>
  <w:p w14:paraId="6E2885F5" w14:textId="77777777" w:rsidR="00933F5F" w:rsidRDefault="00933F5F"/>
  <w:p w14:paraId="23A7FD32" w14:textId="77777777" w:rsidR="00933F5F" w:rsidRDefault="00933F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6">
    <w:nsid w:val="108A37F4"/>
    <w:multiLevelType w:val="multilevel"/>
    <w:tmpl w:val="B78E3600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28BD"/>
    <w:multiLevelType w:val="hybridMultilevel"/>
    <w:tmpl w:val="6C4E5824"/>
    <w:lvl w:ilvl="0" w:tplc="BC208B8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6605146"/>
    <w:multiLevelType w:val="hybridMultilevel"/>
    <w:tmpl w:val="C91CAFAA"/>
    <w:lvl w:ilvl="0" w:tplc="C06439C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6F84DBA"/>
    <w:multiLevelType w:val="hybridMultilevel"/>
    <w:tmpl w:val="B178BDE6"/>
    <w:lvl w:ilvl="0" w:tplc="89A2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7562FE"/>
    <w:multiLevelType w:val="multilevel"/>
    <w:tmpl w:val="41C455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2">
    <w:nsid w:val="6692346A"/>
    <w:multiLevelType w:val="hybridMultilevel"/>
    <w:tmpl w:val="3B9406CA"/>
    <w:lvl w:ilvl="0" w:tplc="749C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>
    <w:nsid w:val="789B13B0"/>
    <w:multiLevelType w:val="hybridMultilevel"/>
    <w:tmpl w:val="B03EB42C"/>
    <w:lvl w:ilvl="0" w:tplc="9B28CA1C">
      <w:start w:val="1"/>
      <w:numFmt w:val="decimal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6">
    <w:nsid w:val="7EBA753B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4"/>
  </w:num>
  <w:num w:numId="5">
    <w:abstractNumId w:val="1"/>
  </w:num>
  <w:num w:numId="6">
    <w:abstractNumId w:val="16"/>
  </w:num>
  <w:num w:numId="7">
    <w:abstractNumId w:val="23"/>
  </w:num>
  <w:num w:numId="8">
    <w:abstractNumId w:val="3"/>
  </w:num>
  <w:num w:numId="9">
    <w:abstractNumId w:val="4"/>
  </w:num>
  <w:num w:numId="10">
    <w:abstractNumId w:val="19"/>
  </w:num>
  <w:num w:numId="11">
    <w:abstractNumId w:val="2"/>
  </w:num>
  <w:num w:numId="12">
    <w:abstractNumId w:val="17"/>
  </w:num>
  <w:num w:numId="13">
    <w:abstractNumId w:val="11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  <w:num w:numId="21">
    <w:abstractNumId w:val="6"/>
    <w:lvlOverride w:ilvl="0">
      <w:startOverride w:val="7"/>
    </w:lvlOverride>
    <w:lvlOverride w:ilvl="1">
      <w:startOverride w:val="2"/>
    </w:lvlOverride>
    <w:lvlOverride w:ilvl="2">
      <w:startOverride w:val="2"/>
    </w:lvlOverride>
  </w:num>
  <w:num w:numId="22">
    <w:abstractNumId w:val="22"/>
  </w:num>
  <w:num w:numId="23">
    <w:abstractNumId w:val="26"/>
  </w:num>
  <w:num w:numId="24">
    <w:abstractNumId w:val="18"/>
  </w:num>
  <w:num w:numId="25">
    <w:abstractNumId w:val="15"/>
  </w:num>
  <w:num w:numId="26">
    <w:abstractNumId w:val="25"/>
  </w:num>
  <w:num w:numId="27">
    <w:abstractNumId w:val="21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36A8F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852C4"/>
    <w:rsid w:val="0009093C"/>
    <w:rsid w:val="00093991"/>
    <w:rsid w:val="00094E3F"/>
    <w:rsid w:val="00094F5C"/>
    <w:rsid w:val="000A0123"/>
    <w:rsid w:val="000A5B1B"/>
    <w:rsid w:val="000B4E44"/>
    <w:rsid w:val="000B5801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20F5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31DF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0136"/>
    <w:rsid w:val="00223465"/>
    <w:rsid w:val="00227EFE"/>
    <w:rsid w:val="0023614F"/>
    <w:rsid w:val="00243C49"/>
    <w:rsid w:val="00261925"/>
    <w:rsid w:val="002640DD"/>
    <w:rsid w:val="00265792"/>
    <w:rsid w:val="0026693C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0560E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6992"/>
    <w:rsid w:val="003A7A2D"/>
    <w:rsid w:val="003B7A73"/>
    <w:rsid w:val="003B7D2F"/>
    <w:rsid w:val="003C15D7"/>
    <w:rsid w:val="003D1772"/>
    <w:rsid w:val="003E1200"/>
    <w:rsid w:val="003E2D68"/>
    <w:rsid w:val="003E5571"/>
    <w:rsid w:val="003F2566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B58F2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24C4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44396"/>
    <w:rsid w:val="0055646D"/>
    <w:rsid w:val="00556617"/>
    <w:rsid w:val="0055782B"/>
    <w:rsid w:val="005622CD"/>
    <w:rsid w:val="00564C6E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211E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2F77"/>
    <w:rsid w:val="00654818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3233"/>
    <w:rsid w:val="006B68FE"/>
    <w:rsid w:val="006B791F"/>
    <w:rsid w:val="006C2455"/>
    <w:rsid w:val="006D0F13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07E65"/>
    <w:rsid w:val="00710A81"/>
    <w:rsid w:val="00714D25"/>
    <w:rsid w:val="00714DB1"/>
    <w:rsid w:val="00714F20"/>
    <w:rsid w:val="00721D72"/>
    <w:rsid w:val="007222D7"/>
    <w:rsid w:val="0072344F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265F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D7CF7"/>
    <w:rsid w:val="007E13D6"/>
    <w:rsid w:val="007E3D2A"/>
    <w:rsid w:val="007E3DCE"/>
    <w:rsid w:val="007F00E9"/>
    <w:rsid w:val="007F0AFE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3F5F"/>
    <w:rsid w:val="0093642B"/>
    <w:rsid w:val="009368D6"/>
    <w:rsid w:val="009372EC"/>
    <w:rsid w:val="0094038D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684"/>
    <w:rsid w:val="009D0F26"/>
    <w:rsid w:val="009D7156"/>
    <w:rsid w:val="009D73E5"/>
    <w:rsid w:val="009D7586"/>
    <w:rsid w:val="009E4907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43DE"/>
    <w:rsid w:val="00AE0F96"/>
    <w:rsid w:val="00AE4A30"/>
    <w:rsid w:val="00AE60A3"/>
    <w:rsid w:val="00AE6DFB"/>
    <w:rsid w:val="00AE78CA"/>
    <w:rsid w:val="00AF1C65"/>
    <w:rsid w:val="00AF7B7F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2214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775F8"/>
    <w:rsid w:val="00C800B7"/>
    <w:rsid w:val="00C81D12"/>
    <w:rsid w:val="00C87A30"/>
    <w:rsid w:val="00C9012E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36A3"/>
    <w:rsid w:val="00D75B17"/>
    <w:rsid w:val="00D7676A"/>
    <w:rsid w:val="00D80197"/>
    <w:rsid w:val="00D81BFA"/>
    <w:rsid w:val="00D82BB0"/>
    <w:rsid w:val="00D86290"/>
    <w:rsid w:val="00D86777"/>
    <w:rsid w:val="00D92792"/>
    <w:rsid w:val="00D97E4C"/>
    <w:rsid w:val="00DA072C"/>
    <w:rsid w:val="00DA18C8"/>
    <w:rsid w:val="00DB295C"/>
    <w:rsid w:val="00DB3123"/>
    <w:rsid w:val="00DB4383"/>
    <w:rsid w:val="00DB4735"/>
    <w:rsid w:val="00DC1257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5F59"/>
    <w:rsid w:val="00E57BBD"/>
    <w:rsid w:val="00E605BD"/>
    <w:rsid w:val="00E63DE6"/>
    <w:rsid w:val="00E66313"/>
    <w:rsid w:val="00E66AC8"/>
    <w:rsid w:val="00E67A7F"/>
    <w:rsid w:val="00E70CC7"/>
    <w:rsid w:val="00E71C4E"/>
    <w:rsid w:val="00E73042"/>
    <w:rsid w:val="00E73A36"/>
    <w:rsid w:val="00E74004"/>
    <w:rsid w:val="00E74DAA"/>
    <w:rsid w:val="00E766E1"/>
    <w:rsid w:val="00E945CD"/>
    <w:rsid w:val="00E9663B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662"/>
    <w:rsid w:val="00EF2EBE"/>
    <w:rsid w:val="00EF628B"/>
    <w:rsid w:val="00EF653C"/>
    <w:rsid w:val="00F027BD"/>
    <w:rsid w:val="00F02931"/>
    <w:rsid w:val="00F06E9E"/>
    <w:rsid w:val="00F23E46"/>
    <w:rsid w:val="00F26295"/>
    <w:rsid w:val="00F32CD1"/>
    <w:rsid w:val="00F32CE4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2B29"/>
    <w:rsid w:val="00FF52DB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4C2678"/>
  <w15:docId w15:val="{74852AFA-1814-4E3D-8B3A-61D71A6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uiPriority w:val="9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uiPriority w:val="9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uiPriority w:val="9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uiPriority w:val="9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uiPriority w:val="9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uiPriority w:val="9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uiPriority w:val="9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uiPriority w:val="9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0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0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semiHidden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uiPriority w:val="99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нумерованный содержание"/>
    <w:basedOn w:val="a6"/>
    <w:rsid w:val="00EF2662"/>
    <w:pPr>
      <w:numPr>
        <w:numId w:val="1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7"/>
    <w:rsid w:val="00EF2662"/>
  </w:style>
  <w:style w:type="character" w:customStyle="1" w:styleId="wmi-callto">
    <w:name w:val="wmi-callto"/>
    <w:basedOn w:val="a7"/>
    <w:rsid w:val="00EF2662"/>
  </w:style>
  <w:style w:type="character" w:customStyle="1" w:styleId="nowrap">
    <w:name w:val="nowrap"/>
    <w:rsid w:val="00EF2662"/>
  </w:style>
  <w:style w:type="character" w:customStyle="1" w:styleId="tlid-translation">
    <w:name w:val="tlid-translation"/>
    <w:basedOn w:val="a7"/>
    <w:rsid w:val="00D7676A"/>
  </w:style>
  <w:style w:type="paragraph" w:customStyle="1" w:styleId="afffff0">
    <w:basedOn w:val="a6"/>
    <w:next w:val="affffe"/>
    <w:rsid w:val="001020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encyclopedia.mathaf.org.qa/en/bios/Pages/Suad-al-Attar.aspx" TargetMode="External"/><Relationship Id="rId1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9BOYVE46Nw&amp;feature=related" TargetMode="External"/><Relationship Id="rId17" Type="http://schemas.openxmlformats.org/officeDocument/2006/relationships/package" Target="embeddings/_________Microsoft_Word2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cons.org/issue06/files/2012/01/6.6_Khitrov.pd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theme" Target="theme/theme1.xml"/><Relationship Id="rId10" Type="http://schemas.openxmlformats.org/officeDocument/2006/relationships/hyperlink" Target="http://www.prognosis.ru/print.html?id=646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eteus.nsc.ru/biblio/newrus/egrowth.ssi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715-9BB0-45D0-96A4-57A97D8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НИУ ВШЭ СПб</Company>
  <LinksUpToDate>false</LinksUpToDate>
  <CharactersWithSpaces>33661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Семенов Олег Юрьевич</cp:lastModifiedBy>
  <cp:revision>5</cp:revision>
  <cp:lastPrinted>2019-09-23T10:16:00Z</cp:lastPrinted>
  <dcterms:created xsi:type="dcterms:W3CDTF">2020-01-23T16:24:00Z</dcterms:created>
  <dcterms:modified xsi:type="dcterms:W3CDTF">2020-01-29T10:53:00Z</dcterms:modified>
</cp:coreProperties>
</file>