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rsidR="007C4531" w:rsidRPr="00FE72C4" w:rsidRDefault="007C4531" w:rsidP="007C4531">
      <w:pPr>
        <w:jc w:val="center"/>
        <w:rPr>
          <w:rFonts w:ascii="Times New Roman" w:hAnsi="Times New Roman" w:cs="Times New Roman"/>
          <w:sz w:val="26"/>
          <w:szCs w:val="26"/>
          <w:lang w:val="ru-RU"/>
        </w:rPr>
      </w:pPr>
    </w:p>
    <w:p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rsidR="007C4531" w:rsidRDefault="007C4531" w:rsidP="007C4531">
      <w:pPr>
        <w:jc w:val="center"/>
        <w:rPr>
          <w:rFonts w:ascii="Times New Roman" w:hAnsi="Times New Roman" w:cs="Times New Roman"/>
          <w:sz w:val="26"/>
          <w:szCs w:val="26"/>
          <w:lang w:val="ru-RU"/>
        </w:rPr>
      </w:pPr>
    </w:p>
    <w:p w:rsidR="007A48C6" w:rsidRPr="00734A13" w:rsidRDefault="007A48C6" w:rsidP="007C4531">
      <w:pPr>
        <w:jc w:val="center"/>
        <w:rPr>
          <w:rFonts w:ascii="Times New Roman" w:hAnsi="Times New Roman" w:cs="Times New Roman"/>
          <w:sz w:val="24"/>
          <w:szCs w:val="24"/>
          <w:lang w:val="ru-RU"/>
        </w:rPr>
      </w:pPr>
    </w:p>
    <w:p w:rsid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567"/>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 xml:space="preserve">Утверждены советом факультета </w:t>
      </w:r>
    </w:p>
    <w:p w:rsidR="00734A13" w:rsidRP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567"/>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 xml:space="preserve">Санкт-Петербургская школа социальных наук и востоковедения, </w:t>
      </w:r>
    </w:p>
    <w:p w:rsidR="00734A13" w:rsidRP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1134"/>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протокол № 07/2019-2020 от 17 октября 2019 г.</w:t>
      </w:r>
    </w:p>
    <w:p w:rsidR="00A6442D" w:rsidRDefault="00A6442D" w:rsidP="007C4531">
      <w:pPr>
        <w:jc w:val="center"/>
        <w:rPr>
          <w:rFonts w:ascii="Times New Roman" w:hAnsi="Times New Roman" w:cs="Times New Roman"/>
          <w:sz w:val="26"/>
          <w:szCs w:val="26"/>
          <w:lang w:val="ru-RU"/>
        </w:rPr>
      </w:pPr>
    </w:p>
    <w:p w:rsidR="00A6442D" w:rsidRPr="00FE72C4" w:rsidRDefault="00A6442D" w:rsidP="007C4531">
      <w:pPr>
        <w:jc w:val="center"/>
        <w:rPr>
          <w:rFonts w:ascii="Times New Roman" w:hAnsi="Times New Roman" w:cs="Times New Roman"/>
          <w:sz w:val="26"/>
          <w:szCs w:val="26"/>
          <w:lang w:val="ru-RU"/>
        </w:rPr>
      </w:pPr>
    </w:p>
    <w:p w:rsidR="00A9737F" w:rsidRPr="00FE72C4" w:rsidRDefault="00A9737F" w:rsidP="007C4531">
      <w:pPr>
        <w:pStyle w:val="a3"/>
        <w:spacing w:before="47"/>
        <w:ind w:left="0" w:right="103"/>
        <w:jc w:val="center"/>
        <w:rPr>
          <w:rFonts w:cs="Times New Roman"/>
          <w:lang w:val="ru-RU"/>
        </w:rPr>
      </w:pPr>
    </w:p>
    <w:p w:rsidR="00FF768A" w:rsidRPr="00FE72C4" w:rsidRDefault="00FF768A" w:rsidP="00FF768A">
      <w:pPr>
        <w:spacing w:before="6"/>
        <w:rPr>
          <w:rFonts w:ascii="Times New Roman" w:eastAsia="Times New Roman" w:hAnsi="Times New Roman" w:cs="Times New Roman"/>
          <w:sz w:val="16"/>
          <w:szCs w:val="1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Направление подготовки 39.04.01 «Социология»</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Default="007C4531"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Pr="00FE72C4" w:rsidRDefault="00E83E52"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201</w:t>
      </w:r>
      <w:r w:rsidR="00A6442D">
        <w:rPr>
          <w:rFonts w:cs="Times New Roman"/>
          <w:sz w:val="26"/>
          <w:szCs w:val="26"/>
          <w:lang w:val="ru-RU"/>
        </w:rPr>
        <w:t>9</w:t>
      </w:r>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r w:rsidR="00AB61A3" w:rsidRPr="00FE72C4">
        <w:rPr>
          <w:rFonts w:eastAsia="Yu Mincho" w:cs="Times New Roman"/>
          <w:lang w:val="en-GB" w:eastAsia="ja-JP"/>
        </w:rPr>
        <w:t>WoS</w:t>
      </w:r>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WoS/Scopus</w:t>
      </w:r>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НИСе.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w:t>
      </w:r>
      <w:r w:rsidR="00804778" w:rsidRPr="00FE72C4">
        <w:rPr>
          <w:rFonts w:cs="Times New Roman"/>
          <w:lang w:val="ru-RU"/>
        </w:rPr>
        <w:lastRenderedPageBreak/>
        <w:t>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lastRenderedPageBreak/>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w:t>
      </w:r>
      <w:r w:rsidRPr="00FE72C4">
        <w:rPr>
          <w:rFonts w:cs="Times New Roman"/>
          <w:lang w:val="ru-RU"/>
        </w:rPr>
        <w:lastRenderedPageBreak/>
        <w:t>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Pr="00FE72C4" w:rsidRDefault="008214ED"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r w:rsidRPr="00FE72C4">
        <w:rPr>
          <w:rFonts w:cs="Times New Roman"/>
          <w:lang w:val="ru-RU"/>
        </w:rPr>
        <w:t>внутритекстовых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w:t>
      </w:r>
      <w:r w:rsidRPr="00FE72C4">
        <w:rPr>
          <w:rFonts w:cs="Times New Roman"/>
          <w:lang w:val="ru-RU"/>
        </w:rPr>
        <w:lastRenderedPageBreak/>
        <w:t>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w:t>
      </w:r>
      <w:r w:rsidR="00D1396D" w:rsidRPr="00D1396D">
        <w:rPr>
          <w:rFonts w:cs="Times New Roman"/>
          <w:lang w:val="ru-RU"/>
        </w:rPr>
        <w:lastRenderedPageBreak/>
        <w:t>работах в НИУ ВШЭ (приложение 2 к Правилам внутреннего распорядка обучающихся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lastRenderedPageBreak/>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гайд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Этап</w:t>
            </w:r>
            <w:r w:rsidRPr="00FE72C4">
              <w:rPr>
                <w:rFonts w:cs="Times New Roman"/>
                <w:spacing w:val="-4"/>
                <w:sz w:val="20"/>
              </w:rPr>
              <w:t xml:space="preserve"> </w:t>
            </w:r>
            <w:r w:rsidRPr="00FE72C4">
              <w:rPr>
                <w:rFonts w:cs="Times New Roman"/>
                <w:sz w:val="20"/>
              </w:rPr>
              <w:t>подготовки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r w:rsidRPr="00FE72C4">
              <w:rPr>
                <w:rFonts w:cs="Times New Roman"/>
                <w:sz w:val="20"/>
              </w:rPr>
              <w:t>Сроки</w:t>
            </w:r>
            <w:r w:rsidRPr="00FE72C4">
              <w:rPr>
                <w:rFonts w:cs="Times New Roman"/>
                <w:spacing w:val="-5"/>
                <w:sz w:val="20"/>
              </w:rPr>
              <w:t xml:space="preserve"> </w:t>
            </w:r>
            <w:r w:rsidRPr="00FE72C4">
              <w:rPr>
                <w:rFonts w:cs="Times New Roman"/>
                <w:sz w:val="20"/>
              </w:rPr>
              <w:t>исполнения</w:t>
            </w:r>
          </w:p>
        </w:tc>
      </w:tr>
      <w:tr w:rsidR="008245C1" w:rsidRPr="00A110C8"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Инициативное предложение тем студентами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A110C8"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r w:rsidRPr="00FE72C4">
              <w:rPr>
                <w:rFonts w:cs="Times New Roman"/>
                <w:sz w:val="20"/>
                <w:lang w:val="ru-RU"/>
              </w:rPr>
              <w:t>уч.г.</w:t>
            </w:r>
          </w:p>
        </w:tc>
      </w:tr>
      <w:tr w:rsidR="008245C1" w:rsidRPr="00A110C8"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rPr>
              <w:t>Студенты</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A110C8"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декабря </w:t>
            </w:r>
            <w:r w:rsidRPr="00FE72C4">
              <w:rPr>
                <w:rFonts w:cs="Times New Roman"/>
                <w:sz w:val="20"/>
                <w:szCs w:val="20"/>
                <w:lang w:val="ru-RU"/>
              </w:rPr>
              <w:t>текущего</w:t>
            </w:r>
            <w:r w:rsidRPr="00FE72C4">
              <w:rPr>
                <w:rFonts w:cs="Times New Roman"/>
                <w:spacing w:val="-7"/>
                <w:sz w:val="20"/>
                <w:szCs w:val="20"/>
                <w:lang w:val="ru-RU"/>
              </w:rPr>
              <w:t xml:space="preserve"> </w:t>
            </w:r>
            <w:r w:rsidRPr="00FE72C4">
              <w:rPr>
                <w:rFonts w:cs="Times New Roman"/>
                <w:sz w:val="20"/>
                <w:szCs w:val="20"/>
                <w:lang w:val="ru-RU"/>
              </w:rPr>
              <w:t>уч.г.</w:t>
            </w:r>
          </w:p>
        </w:tc>
      </w:tr>
      <w:tr w:rsidR="008245C1" w:rsidRPr="00A110C8"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r w:rsidRPr="00FE72C4">
              <w:rPr>
                <w:rFonts w:ascii="Times New Roman" w:hAnsi="Times New Roman" w:cs="Times New Roman"/>
                <w:sz w:val="20"/>
              </w:rPr>
              <w:t>Наименование</w:t>
            </w:r>
            <w:r w:rsidRPr="00FE72C4">
              <w:rPr>
                <w:rFonts w:ascii="Times New Roman" w:hAnsi="Times New Roman" w:cs="Times New Roman"/>
                <w:spacing w:val="-7"/>
                <w:sz w:val="20"/>
              </w:rPr>
              <w:t xml:space="preserve"> </w:t>
            </w:r>
            <w:r w:rsidRPr="00FE72C4">
              <w:rPr>
                <w:rFonts w:ascii="Times New Roman" w:hAnsi="Times New Roman" w:cs="Times New Roman"/>
                <w:sz w:val="20"/>
              </w:rPr>
              <w:t>этапа</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r w:rsidRPr="00FE72C4">
              <w:rPr>
                <w:rFonts w:ascii="Times New Roman" w:hAnsi="Times New Roman" w:cs="Times New Roman"/>
                <w:sz w:val="20"/>
              </w:rPr>
              <w:t>Сроки выполнения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r w:rsidRPr="00FE72C4">
              <w:rPr>
                <w:rFonts w:ascii="Times New Roman" w:hAnsi="Times New Roman" w:cs="Times New Roman"/>
                <w:sz w:val="20"/>
              </w:rPr>
              <w:t>Примечания</w:t>
            </w:r>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r w:rsidRPr="00FE72C4">
              <w:rPr>
                <w:rFonts w:ascii="Times New Roman" w:hAnsi="Times New Roman" w:cs="Times New Roman"/>
                <w:sz w:val="20"/>
              </w:rPr>
              <w:t>Выполнение курсовой работы.</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r w:rsidR="00FF768A" w:rsidRPr="00FE72C4">
              <w:rPr>
                <w:rFonts w:ascii="Times New Roman" w:hAnsi="Times New Roman" w:cs="Times New Roman"/>
                <w:sz w:val="20"/>
              </w:rPr>
              <w:t>позднее</w:t>
            </w:r>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A110C8"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«Антиплагиат».</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06</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20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rPr>
              <w:t>фактах ненадлежащего исполнения сотрудниками</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Студент/Учебный</w:t>
            </w:r>
            <w:r w:rsidRPr="00FE72C4">
              <w:rPr>
                <w:rFonts w:ascii="Times New Roman" w:hAnsi="Times New Roman" w:cs="Times New Roman"/>
                <w:spacing w:val="-8"/>
                <w:sz w:val="20"/>
              </w:rPr>
              <w:t xml:space="preserve"> </w:t>
            </w:r>
            <w:r w:rsidRPr="00FE72C4">
              <w:rPr>
                <w:rFonts w:ascii="Times New Roman" w:hAnsi="Times New Roman" w:cs="Times New Roman"/>
                <w:sz w:val="20"/>
              </w:rPr>
              <w:t>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1</w:t>
            </w:r>
            <w:r w:rsidRPr="00FE72C4">
              <w:rPr>
                <w:rFonts w:ascii="Times New Roman" w:hAnsi="Times New Roman" w:cs="Times New Roman"/>
                <w:sz w:val="20"/>
                <w:lang w:val="ru-RU"/>
              </w:rPr>
              <w:t>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r w:rsidRPr="00FE72C4">
              <w:rPr>
                <w:rFonts w:ascii="Times New Roman" w:eastAsia="Times New Roman" w:hAnsi="Times New Roman" w:cs="Times New Roman"/>
                <w:sz w:val="20"/>
                <w:szCs w:val="20"/>
              </w:rPr>
              <w:t>июня – 30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До 10</w:t>
            </w:r>
            <w:r w:rsidRPr="00FE72C4">
              <w:rPr>
                <w:rFonts w:ascii="Times New Roman" w:hAnsi="Times New Roman" w:cs="Times New Roman"/>
                <w:spacing w:val="-3"/>
                <w:sz w:val="20"/>
              </w:rPr>
              <w:t xml:space="preserve"> </w:t>
            </w:r>
            <w:r w:rsidRPr="00FE72C4">
              <w:rPr>
                <w:rFonts w:ascii="Times New Roman" w:hAnsi="Times New Roman" w:cs="Times New Roman"/>
                <w:sz w:val="20"/>
              </w:rPr>
              <w:t>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 системе Антиплагиат</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3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Сдача курсовой работы в учебный офис (сброшюрованная курсовая работа, электронная версия, отзыв руководителя, Антиплагиат)</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Студент /Учебный 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Pr="00FE72C4">
              <w:rPr>
                <w:rFonts w:ascii="Times New Roman" w:hAnsi="Times New Roman" w:cs="Times New Roman"/>
                <w:sz w:val="20"/>
              </w:rPr>
              <w:t xml:space="preserve">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A110C8"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Защита курсовой работы (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r w:rsidRPr="00FE72C4">
              <w:rPr>
                <w:rFonts w:ascii="Times New Roman" w:hAnsi="Times New Roman" w:cs="Times New Roman"/>
                <w:sz w:val="20"/>
              </w:rPr>
              <w:t>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руководствуясь следующими критериями</w:t>
      </w:r>
      <w:r w:rsidR="00A110C8">
        <w:rPr>
          <w:rFonts w:ascii="Times New Roman" w:hAnsi="Times New Roman" w:cs="Times New Roman"/>
          <w:sz w:val="28"/>
          <w:lang w:val="ru-RU"/>
        </w:rPr>
        <w:t>:</w:t>
      </w:r>
    </w:p>
    <w:p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Соответствие содержания курсовой работы утвержденной теме </w:t>
      </w:r>
    </w:p>
    <w:p w:rsidR="00FF768A" w:rsidRPr="00FE72C4" w:rsidRDefault="00FF768A" w:rsidP="00F9680A">
      <w:pPr>
        <w:pStyle w:val="a5"/>
        <w:numPr>
          <w:ilvl w:val="3"/>
          <w:numId w:val="15"/>
        </w:numPr>
        <w:spacing w:before="10" w:line="300" w:lineRule="auto"/>
        <w:ind w:left="0" w:right="267"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Выполнение поставленных целей и задач </w:t>
      </w:r>
    </w:p>
    <w:p w:rsidR="00FF768A"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Оригинальность и новизна курсовой работы </w:t>
      </w:r>
    </w:p>
    <w:p w:rsidR="00FE72C4"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Самостоятельность при работе над курсовой работой </w:t>
      </w:r>
    </w:p>
    <w:p w:rsidR="00FF768A"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Оформление работы </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Наличие и обоснованность исследовательской проблемы </w:t>
      </w:r>
    </w:p>
    <w:p w:rsidR="00762567" w:rsidRPr="00A110C8"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Корректность использования методов анализа данных </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Широта охвата научных публикаций и глубина их проработки </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lastRenderedPageBreak/>
        <w:t xml:space="preserve">Логичность, последовательность изложения, ясность, точность формулировок </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Содержательная интерпретация полученных результатов </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Аккуратность оформления текста (включая ссылки, цитаты, графики, таблицы)</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Новизна полученных результатов </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В </w:t>
      </w:r>
      <w:r w:rsidR="00A110C8">
        <w:rPr>
          <w:rFonts w:ascii="Times New Roman" w:hAnsi="Times New Roman" w:cs="Times New Roman"/>
          <w:sz w:val="28"/>
          <w:lang w:val="ru-RU"/>
        </w:rPr>
        <w:t xml:space="preserve">установленный </w:t>
      </w:r>
      <w:r w:rsidRPr="00FE72C4">
        <w:rPr>
          <w:rFonts w:ascii="Times New Roman" w:hAnsi="Times New Roman" w:cs="Times New Roman"/>
          <w:sz w:val="28"/>
          <w:lang w:val="ru-RU"/>
        </w:rPr>
        <w:t xml:space="preserve">срок </w:t>
      </w:r>
      <w:r w:rsidR="00A110C8">
        <w:rPr>
          <w:rFonts w:ascii="Times New Roman" w:hAnsi="Times New Roman" w:cs="Times New Roman"/>
          <w:sz w:val="28"/>
          <w:lang w:val="ru-RU"/>
        </w:rPr>
        <w:t>р</w:t>
      </w:r>
      <w:bookmarkStart w:id="0" w:name="_GoBack"/>
      <w:bookmarkEnd w:id="0"/>
      <w:r w:rsidR="00FF768A" w:rsidRPr="00FE72C4">
        <w:rPr>
          <w:rFonts w:ascii="Times New Roman" w:hAnsi="Times New Roman" w:cs="Times New Roman"/>
          <w:sz w:val="28"/>
          <w:lang w:val="ru-RU"/>
        </w:rPr>
        <w:t>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не подлежит</w:t>
      </w:r>
      <w:r w:rsidRPr="00FE72C4">
        <w:rPr>
          <w:rFonts w:ascii="Times New Roman" w:hAnsi="Times New Roman" w:cs="Times New Roman"/>
          <w:spacing w:val="-20"/>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ВКР подлежит обязательному</w:t>
      </w:r>
      <w:r w:rsidRPr="00FE72C4">
        <w:rPr>
          <w:rFonts w:ascii="Times New Roman" w:hAnsi="Times New Roman" w:cs="Times New Roman"/>
          <w:spacing w:val="-19"/>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 с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b/>
          <w:sz w:val="28"/>
        </w:rPr>
        <w:t xml:space="preserve">Защита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 xml:space="preserve">«Антиплагиат»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состоящей из руководителей НИСа</w:t>
      </w:r>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xml:space="preserve">. Регламент доклада – 10 минут. Доклад следует начинать с обоснования актуальности выбранной темы, описания исследовательской проблемы и формулировки </w:t>
      </w:r>
      <w:r w:rsidRPr="00FE72C4">
        <w:rPr>
          <w:rFonts w:ascii="Times New Roman" w:eastAsia="Times New Roman" w:hAnsi="Times New Roman" w:cs="Times New Roman"/>
          <w:sz w:val="28"/>
          <w:szCs w:val="28"/>
          <w:lang w:val="ru-RU"/>
        </w:rPr>
        <w:lastRenderedPageBreak/>
        <w:t>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(неуд.)</w:t>
      </w:r>
    </w:p>
    <w:p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(уд.)</w:t>
      </w:r>
    </w:p>
    <w:p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(хор.)</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(отл.)</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представляет собой среднее арифметическое выставленных участвующими в защите 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xml:space="preserve">, таких   </w:t>
      </w:r>
      <w:r w:rsidRPr="00261D50">
        <w:rPr>
          <w:rFonts w:ascii="Times New Roman" w:hAnsi="Times New Roman" w:cs="Times New Roman"/>
          <w:sz w:val="28"/>
          <w:lang w:val="ru-RU"/>
        </w:rPr>
        <w:lastRenderedPageBreak/>
        <w:t>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FE72C4">
        <w:rPr>
          <w:rFonts w:ascii="Times New Roman" w:hAnsi="Times New Roman" w:cs="Times New Roman"/>
          <w:sz w:val="28"/>
        </w:rPr>
        <w:t>диссертации   на</w:t>
      </w:r>
      <w:r w:rsidRPr="00FE72C4">
        <w:rPr>
          <w:rFonts w:ascii="Times New Roman" w:hAnsi="Times New Roman" w:cs="Times New Roman"/>
          <w:spacing w:val="-2"/>
          <w:sz w:val="28"/>
        </w:rPr>
        <w:t xml:space="preserve"> </w:t>
      </w:r>
      <w:r w:rsidRPr="00FE72C4">
        <w:rPr>
          <w:rFonts w:ascii="Times New Roman" w:hAnsi="Times New Roman" w:cs="Times New Roman"/>
          <w:sz w:val="28"/>
        </w:rPr>
        <w:t>защиту.</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w:t>
      </w:r>
      <w:r w:rsidRPr="00FE72C4">
        <w:rPr>
          <w:rFonts w:ascii="Times New Roman" w:hAnsi="Times New Roman" w:cs="Times New Roman"/>
          <w:sz w:val="28"/>
          <w:lang w:val="ru-RU"/>
        </w:rPr>
        <w:lastRenderedPageBreak/>
        <w:t xml:space="preserve">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руководителя</w:t>
      </w:r>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рецензента</w:t>
      </w:r>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итоговой аттеста</w:t>
      </w:r>
      <w:r w:rsidRPr="00FE72C4">
        <w:rPr>
          <w:rFonts w:ascii="Times New Roman" w:hAnsi="Times New Roman" w:cs="Times New Roman"/>
          <w:sz w:val="28"/>
          <w:lang w:val="ru-RU"/>
        </w:rPr>
        <w:lastRenderedPageBreak/>
        <w:t xml:space="preserve">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24EB1" w:rsidRDefault="00F24EB1" w:rsidP="00FF768A">
      <w:pPr>
        <w:spacing w:line="360" w:lineRule="auto"/>
        <w:jc w:val="both"/>
        <w:rPr>
          <w:rFonts w:ascii="Times New Roman" w:eastAsia="Times New Roman" w:hAnsi="Times New Roman" w:cs="Times New Roman"/>
          <w:sz w:val="28"/>
          <w:szCs w:val="28"/>
          <w:lang w:val="ru-RU"/>
        </w:rPr>
      </w:pPr>
    </w:p>
    <w:p w:rsidR="00F24EB1" w:rsidRPr="003D7EC7" w:rsidRDefault="00F24EB1" w:rsidP="00F24EB1">
      <w:pPr>
        <w:pStyle w:val="1"/>
        <w:spacing w:before="173" w:line="300" w:lineRule="auto"/>
        <w:ind w:left="1788" w:right="1792"/>
        <w:jc w:val="center"/>
        <w:rPr>
          <w:rFonts w:cs="Times New Roman"/>
          <w:lang w:val="ru-RU"/>
        </w:rPr>
      </w:pPr>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здоровья</w:t>
      </w:r>
    </w:p>
    <w:p w:rsidR="00F24EB1" w:rsidRPr="003D7EC7" w:rsidRDefault="00F24EB1" w:rsidP="00F24EB1">
      <w:pPr>
        <w:autoSpaceDE w:val="0"/>
        <w:autoSpaceDN w:val="0"/>
        <w:adjustRightInd w:val="0"/>
        <w:ind w:firstLine="709"/>
        <w:jc w:val="both"/>
        <w:rPr>
          <w:rFonts w:ascii="Times New Roman" w:hAnsi="Times New Roman" w:cs="Times New Roman"/>
          <w:sz w:val="28"/>
          <w:szCs w:val="28"/>
          <w:lang w:val="ru-RU"/>
        </w:rPr>
      </w:pP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F24EB1" w:rsidRPr="00DC4EF7" w:rsidRDefault="00F24EB1" w:rsidP="00FF768A">
      <w:pPr>
        <w:spacing w:line="360" w:lineRule="auto"/>
        <w:jc w:val="both"/>
        <w:rPr>
          <w:rFonts w:ascii="Times New Roman" w:eastAsia="Times New Roman" w:hAnsi="Times New Roman" w:cs="Times New Roman"/>
          <w:sz w:val="28"/>
          <w:szCs w:val="28"/>
          <w:lang w:val="ru-RU"/>
        </w:rPr>
        <w:sectPr w:rsidR="00F24EB1"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Подпись студента_______________________________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«Антиплагиат»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«Антиплагиат»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«Антиплагиат»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предоставляется  в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r>
              <w:rPr>
                <w:rFonts w:ascii="Times New Roman" w:hAnsi="Times New Roman"/>
                <w:b/>
                <w:sz w:val="26"/>
              </w:rPr>
              <w:t>Критерии</w:t>
            </w:r>
            <w:r>
              <w:rPr>
                <w:rFonts w:ascii="Times New Roman" w:hAnsi="Times New Roman"/>
                <w:b/>
                <w:spacing w:val="-6"/>
                <w:sz w:val="26"/>
              </w:rPr>
              <w:t xml:space="preserve"> </w:t>
            </w:r>
            <w:r>
              <w:rPr>
                <w:rFonts w:ascii="Times New Roman" w:hAnsi="Times New Roman"/>
                <w:b/>
                <w:sz w:val="26"/>
              </w:rPr>
              <w:t>оценки</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r>
              <w:rPr>
                <w:rFonts w:ascii="Times New Roman" w:hAnsi="Times New Roman"/>
                <w:b/>
                <w:sz w:val="26"/>
              </w:rPr>
              <w:t>Оценка (по 10- балльной</w:t>
            </w:r>
            <w:r>
              <w:rPr>
                <w:rFonts w:ascii="Times New Roman" w:hAnsi="Times New Roman"/>
                <w:b/>
                <w:spacing w:val="-9"/>
                <w:sz w:val="26"/>
              </w:rPr>
              <w:t xml:space="preserve"> </w:t>
            </w:r>
            <w:r>
              <w:rPr>
                <w:rFonts w:ascii="Times New Roman" w:hAnsi="Times New Roman"/>
                <w:b/>
                <w:sz w:val="26"/>
              </w:rPr>
              <w:t>шкале)</w:t>
            </w:r>
          </w:p>
        </w:tc>
      </w:tr>
      <w:tr w:rsidR="001939F9" w:rsidRPr="00A110C8"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r>
              <w:rPr>
                <w:rFonts w:ascii="Times New Roman" w:hAnsi="Times New Roman"/>
                <w:sz w:val="26"/>
              </w:rPr>
              <w:t>Оформление</w:t>
            </w:r>
            <w:r>
              <w:rPr>
                <w:rFonts w:ascii="Times New Roman" w:hAnsi="Times New Roman"/>
                <w:spacing w:val="-4"/>
                <w:sz w:val="26"/>
              </w:rPr>
              <w:t xml:space="preserve"> </w:t>
            </w:r>
            <w:r>
              <w:rPr>
                <w:rFonts w:ascii="Times New Roman" w:hAnsi="Times New Roman"/>
                <w:sz w:val="26"/>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A110C8"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A110C8"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hAnsi="Times New Roman"/>
              </w:rPr>
              <w:t>Содержательная интерпретация полученных</w:t>
            </w:r>
            <w:r>
              <w:rPr>
                <w:rFonts w:ascii="Times New Roman" w:hAnsi="Times New Roman"/>
                <w:spacing w:val="-5"/>
              </w:rPr>
              <w:t xml:space="preserve"> </w:t>
            </w:r>
            <w:r>
              <w:rPr>
                <w:rFonts w:ascii="Times New Roman" w:hAnsi="Times New Roman"/>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A110C8"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110C8"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A6442D"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mc:AlternateContent>
          <mc:Choice Requires="wpg">
            <w:drawing>
              <wp:anchor distT="0" distB="0" distL="0" distR="0" simplePos="0" relativeHeight="251659264" behindDoc="0" locked="0" layoutInCell="1" allowOverlap="1">
                <wp:simplePos x="0" y="0"/>
                <wp:positionH relativeFrom="page">
                  <wp:posOffset>1009015</wp:posOffset>
                </wp:positionH>
                <wp:positionV relativeFrom="paragraph">
                  <wp:posOffset>128270</wp:posOffset>
                </wp:positionV>
                <wp:extent cx="6085205" cy="329565"/>
                <wp:effectExtent l="0" t="0" r="10795" b="13335"/>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A6442D"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1530350" cy="6350"/>
                      <wp:effectExtent l="7620" t="5715" r="5080" b="698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178AD"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lcsMA&#10;AADaAAAADwAAAGRycy9kb3ducmV2LnhtbESPQYvCMBSE74L/ITzBi2iqL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lcsMAAADaAAAADwAAAAAAAAAAAAAAAACYAgAAZHJzL2Rv&#10;d25yZXYueG1sUEsFBgAAAAAEAAQA9QAAAIg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Название параграфа……………………………………………………….номер страницы Глава 2. </w:t>
      </w:r>
      <w:r>
        <w:rPr>
          <w:rFonts w:ascii="Times New Roman" w:eastAsia="Times New Roman" w:hAnsi="Times New Roman" w:cs="Times New Roman"/>
          <w:i/>
          <w:sz w:val="24"/>
          <w:szCs w:val="24"/>
        </w:rPr>
        <w:t xml:space="preserve">Название главы </w:t>
      </w:r>
      <w:r>
        <w:rPr>
          <w:rFonts w:ascii="Times New Roman" w:eastAsia="Times New Roman" w:hAnsi="Times New Roman" w:cs="Times New Roman"/>
          <w:sz w:val="24"/>
          <w:szCs w:val="24"/>
        </w:rPr>
        <w:t>……………………………………………………. номер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страницы</w:t>
      </w:r>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A6442D"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simplePos x="0" y="0"/>
                <wp:positionH relativeFrom="page">
                  <wp:posOffset>1009015</wp:posOffset>
                </wp:positionH>
                <wp:positionV relativeFrom="paragraph">
                  <wp:posOffset>107950</wp:posOffset>
                </wp:positionV>
                <wp:extent cx="6085205" cy="1607820"/>
                <wp:effectExtent l="0" t="0" r="10795" b="1143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A6442D"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simplePos x="0" y="0"/>
                <wp:positionH relativeFrom="page">
                  <wp:posOffset>1005840</wp:posOffset>
                </wp:positionH>
                <wp:positionV relativeFrom="paragraph">
                  <wp:posOffset>84455</wp:posOffset>
                </wp:positionV>
                <wp:extent cx="6091555" cy="2411730"/>
                <wp:effectExtent l="0" t="0" r="23495" b="762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1A1B43" w:rsidP="0045362C">
                                <w:pPr>
                                  <w:spacing w:line="240" w:lineRule="exact"/>
                                  <w:rPr>
                                    <w:rFonts w:ascii="Times New Roman" w:eastAsia="Times New Roman" w:hAnsi="Times New Roman" w:cs="Times New Roman"/>
                                    <w:sz w:val="24"/>
                                    <w:szCs w:val="24"/>
                                  </w:rPr>
                                </w:pPr>
                                <w:hyperlink r:id="rId17">
                                  <w:r w:rsidR="00E803B9">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Text Box 17" o:sp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803B9" w:rsidRDefault="001A1B43" w:rsidP="0045362C">
                          <w:pPr>
                            <w:spacing w:line="240" w:lineRule="exact"/>
                            <w:rPr>
                              <w:rFonts w:ascii="Times New Roman" w:eastAsia="Times New Roman" w:hAnsi="Times New Roman" w:cs="Times New Roman"/>
                              <w:sz w:val="24"/>
                              <w:szCs w:val="24"/>
                            </w:rPr>
                          </w:pPr>
                          <w:hyperlink r:id="rId18">
                            <w:r w:rsidR="00E803B9">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43" w:rsidRDefault="001A1B43">
      <w:r>
        <w:separator/>
      </w:r>
    </w:p>
  </w:endnote>
  <w:endnote w:type="continuationSeparator" w:id="0">
    <w:p w:rsidR="001A1B43" w:rsidRDefault="001A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EndPr/>
    <w:sdtContent>
      <w:p w:rsidR="000B5F67" w:rsidRDefault="00F24EB1">
        <w:pPr>
          <w:pStyle w:val="a8"/>
          <w:jc w:val="center"/>
        </w:pPr>
        <w:r>
          <w:rPr>
            <w:noProof/>
          </w:rPr>
          <w:fldChar w:fldCharType="begin"/>
        </w:r>
        <w:r>
          <w:rPr>
            <w:noProof/>
          </w:rPr>
          <w:instrText xml:space="preserve"> PAGE   \* MERGEFORMAT </w:instrText>
        </w:r>
        <w:r>
          <w:rPr>
            <w:noProof/>
          </w:rPr>
          <w:fldChar w:fldCharType="separate"/>
        </w:r>
        <w:r w:rsidR="00342458">
          <w:rPr>
            <w:noProof/>
          </w:rPr>
          <w:t>6</w:t>
        </w:r>
        <w:r>
          <w:rPr>
            <w:noProof/>
          </w:rPr>
          <w:fldChar w:fldCharType="end"/>
        </w:r>
      </w:p>
    </w:sdtContent>
  </w:sdt>
  <w:p w:rsidR="00E803B9" w:rsidRDefault="00E803B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A6442D">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42458">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T8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TaW0/K0CAACqBQAADgAA&#10;AAAAAAAAAAAAAAAuAgAAZHJzL2Uyb0RvYy54bWxQSwECLQAUAAYACAAAACEAtkkj1eEAAAANAQAA&#10;DwAAAAAAAAAAAAAAAAAHBQAAZHJzL2Rvd25yZXYueG1sUEsFBgAAAAAEAAQA8wAAABUGA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42458">
                      <w:rPr>
                        <w:rFonts w:ascii="Times New Roman"/>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A6442D">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42458">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0GsA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T+MxjgGO1k+AoGV&#10;BIIBF2HvgVBL9ROjDnZIivWPA1EUI/5RwBDYhTMKahR2o0BEAU9TbDAaxI0ZFtOhVWxfA/IwZkKu&#10;YFAq5khsJ2qI4jResBdcLqcdZhfP839nddm0y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pAPdBrACAACxBQAA&#10;DgAAAAAAAAAAAAAAAAAuAgAAZHJzL2Uyb0RvYy54bWxQSwECLQAUAAYACAAAACEAtkkj1eEAAAAN&#10;AQAADwAAAAAAAAAAAAAAAAAKBQAAZHJzL2Rvd25yZXYueG1sUEsFBgAAAAAEAAQA8wAAABgGAAAA&#10;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42458">
                      <w:rPr>
                        <w:rFonts w:ascii="Times New Roman"/>
                        <w:noProof/>
                        <w:sz w:val="20"/>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Pr="0045362C" w:rsidRDefault="00E803B9"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A6442D">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110C8">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BSQShxrwIAAK8FAAAO&#10;AAAAAAAAAAAAAAAAAC4CAABkcnMvZTJvRG9jLnhtbFBLAQItABQABgAIAAAAIQC2SSPV4QAAAA0B&#10;AAAPAAAAAAAAAAAAAAAAAAkFAABkcnMvZG93bnJldi54bWxQSwUGAAAAAAQABADzAAAAFwY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110C8">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43" w:rsidRDefault="001A1B43">
      <w:r>
        <w:separator/>
      </w:r>
    </w:p>
  </w:footnote>
  <w:footnote w:type="continuationSeparator" w:id="0">
    <w:p w:rsidR="001A1B43" w:rsidRDefault="001A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6DEC"/>
    <w:rsid w:val="00112A9C"/>
    <w:rsid w:val="001354AD"/>
    <w:rsid w:val="00164373"/>
    <w:rsid w:val="001939F9"/>
    <w:rsid w:val="001A1B43"/>
    <w:rsid w:val="00201A33"/>
    <w:rsid w:val="00212FA5"/>
    <w:rsid w:val="00234636"/>
    <w:rsid w:val="00235777"/>
    <w:rsid w:val="00240832"/>
    <w:rsid w:val="00261D50"/>
    <w:rsid w:val="002633F5"/>
    <w:rsid w:val="00266481"/>
    <w:rsid w:val="0027002E"/>
    <w:rsid w:val="00293385"/>
    <w:rsid w:val="002940F6"/>
    <w:rsid w:val="002A1BB4"/>
    <w:rsid w:val="002E02C7"/>
    <w:rsid w:val="00306878"/>
    <w:rsid w:val="00320C96"/>
    <w:rsid w:val="00331CFB"/>
    <w:rsid w:val="00342458"/>
    <w:rsid w:val="00386320"/>
    <w:rsid w:val="003B4C4D"/>
    <w:rsid w:val="003D5863"/>
    <w:rsid w:val="003E5441"/>
    <w:rsid w:val="003F7410"/>
    <w:rsid w:val="0045362C"/>
    <w:rsid w:val="004B0D34"/>
    <w:rsid w:val="004D00D8"/>
    <w:rsid w:val="004D65E0"/>
    <w:rsid w:val="00523525"/>
    <w:rsid w:val="00540D2A"/>
    <w:rsid w:val="0055263F"/>
    <w:rsid w:val="00570E60"/>
    <w:rsid w:val="005732F5"/>
    <w:rsid w:val="005A1917"/>
    <w:rsid w:val="005A2CA6"/>
    <w:rsid w:val="005C0613"/>
    <w:rsid w:val="006017AD"/>
    <w:rsid w:val="006961D2"/>
    <w:rsid w:val="006D2567"/>
    <w:rsid w:val="00706CA3"/>
    <w:rsid w:val="00734A13"/>
    <w:rsid w:val="0074486F"/>
    <w:rsid w:val="007511C9"/>
    <w:rsid w:val="00762567"/>
    <w:rsid w:val="00775B43"/>
    <w:rsid w:val="007914CD"/>
    <w:rsid w:val="007A48C6"/>
    <w:rsid w:val="007A73F8"/>
    <w:rsid w:val="007C4531"/>
    <w:rsid w:val="007D58FD"/>
    <w:rsid w:val="007E68A4"/>
    <w:rsid w:val="007E6EA2"/>
    <w:rsid w:val="007E786C"/>
    <w:rsid w:val="007F017A"/>
    <w:rsid w:val="00804778"/>
    <w:rsid w:val="008214ED"/>
    <w:rsid w:val="008245C1"/>
    <w:rsid w:val="00825BA6"/>
    <w:rsid w:val="00846034"/>
    <w:rsid w:val="00847D27"/>
    <w:rsid w:val="00880EB7"/>
    <w:rsid w:val="00893289"/>
    <w:rsid w:val="008C23E3"/>
    <w:rsid w:val="008C3C6F"/>
    <w:rsid w:val="008C572C"/>
    <w:rsid w:val="008D7E75"/>
    <w:rsid w:val="00933889"/>
    <w:rsid w:val="00985995"/>
    <w:rsid w:val="009A25EF"/>
    <w:rsid w:val="009B5D6E"/>
    <w:rsid w:val="009B5E4C"/>
    <w:rsid w:val="009E221F"/>
    <w:rsid w:val="00A01013"/>
    <w:rsid w:val="00A059C4"/>
    <w:rsid w:val="00A110C8"/>
    <w:rsid w:val="00A16FBF"/>
    <w:rsid w:val="00A25C45"/>
    <w:rsid w:val="00A3642E"/>
    <w:rsid w:val="00A6442D"/>
    <w:rsid w:val="00A64640"/>
    <w:rsid w:val="00A91C6B"/>
    <w:rsid w:val="00A968FE"/>
    <w:rsid w:val="00A9737F"/>
    <w:rsid w:val="00AB29B3"/>
    <w:rsid w:val="00AB61A3"/>
    <w:rsid w:val="00AC2032"/>
    <w:rsid w:val="00B0344F"/>
    <w:rsid w:val="00B31ED2"/>
    <w:rsid w:val="00B36D4A"/>
    <w:rsid w:val="00B37E79"/>
    <w:rsid w:val="00B41E5D"/>
    <w:rsid w:val="00B74744"/>
    <w:rsid w:val="00B95FC9"/>
    <w:rsid w:val="00BA68AD"/>
    <w:rsid w:val="00BB29F0"/>
    <w:rsid w:val="00BF0D46"/>
    <w:rsid w:val="00C03BA3"/>
    <w:rsid w:val="00C223CB"/>
    <w:rsid w:val="00CF5C38"/>
    <w:rsid w:val="00D06899"/>
    <w:rsid w:val="00D1396D"/>
    <w:rsid w:val="00D25A4E"/>
    <w:rsid w:val="00D261C1"/>
    <w:rsid w:val="00D32D28"/>
    <w:rsid w:val="00D5519E"/>
    <w:rsid w:val="00D63AB6"/>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6EDA"/>
    <w:rsid w:val="00EB6962"/>
    <w:rsid w:val="00EC2082"/>
    <w:rsid w:val="00F24EB1"/>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D5362-E169-4FAF-A3F4-4C8D20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248">
      <w:bodyDiv w:val="1"/>
      <w:marLeft w:val="0"/>
      <w:marRight w:val="0"/>
      <w:marTop w:val="0"/>
      <w:marBottom w:val="0"/>
      <w:divBdr>
        <w:top w:val="none" w:sz="0" w:space="0" w:color="auto"/>
        <w:left w:val="none" w:sz="0" w:space="0" w:color="auto"/>
        <w:bottom w:val="none" w:sz="0" w:space="0" w:color="auto"/>
        <w:right w:val="none" w:sz="0" w:space="0" w:color="auto"/>
      </w:divBdr>
    </w:div>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5A7F-C824-4543-8FC6-5CAA5BDD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7567</Words>
  <Characters>43133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2</cp:revision>
  <cp:lastPrinted>2019-02-22T06:10:00Z</cp:lastPrinted>
  <dcterms:created xsi:type="dcterms:W3CDTF">2020-01-17T13:55:00Z</dcterms:created>
  <dcterms:modified xsi:type="dcterms:W3CDTF">2020-01-17T13:55:00Z</dcterms:modified>
</cp:coreProperties>
</file>