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4C" w:rsidRPr="00211DAC" w:rsidRDefault="00B3744C" w:rsidP="00B3744C">
      <w:pPr>
        <w:jc w:val="right"/>
      </w:pPr>
      <w:r w:rsidRPr="00211DAC">
        <w:t xml:space="preserve">Приложение </w:t>
      </w:r>
      <w:r>
        <w:t>4</w:t>
      </w:r>
    </w:p>
    <w:p w:rsidR="00B3744C" w:rsidRPr="00211DAC" w:rsidRDefault="00B3744C" w:rsidP="00B3744C">
      <w:pPr>
        <w:jc w:val="right"/>
      </w:pPr>
      <w:r>
        <w:t>к</w:t>
      </w:r>
      <w:r w:rsidRPr="00211DAC">
        <w:t xml:space="preserve"> протоколу ученого совета</w:t>
      </w:r>
    </w:p>
    <w:p w:rsidR="00B3744C" w:rsidRPr="00211DAC" w:rsidRDefault="00B3744C" w:rsidP="00B3744C">
      <w:pPr>
        <w:jc w:val="right"/>
      </w:pPr>
      <w:r w:rsidRPr="00211DAC">
        <w:t>НИУ ВШЭ – Санкт-Петербург</w:t>
      </w:r>
    </w:p>
    <w:p w:rsidR="00B3744C" w:rsidRPr="00211DAC" w:rsidRDefault="00B3744C" w:rsidP="00B3744C">
      <w:pPr>
        <w:jc w:val="right"/>
      </w:pPr>
      <w:r w:rsidRPr="00211DAC">
        <w:t xml:space="preserve">От </w:t>
      </w:r>
      <w:r>
        <w:t xml:space="preserve">12.12.2019 </w:t>
      </w:r>
      <w:r w:rsidRPr="00211DAC">
        <w:t>№ _________</w:t>
      </w:r>
    </w:p>
    <w:p w:rsidR="00B3744C" w:rsidRDefault="00B3744C" w:rsidP="00B3744C">
      <w:pPr>
        <w:rPr>
          <w:b/>
          <w:sz w:val="26"/>
          <w:szCs w:val="26"/>
        </w:rPr>
      </w:pPr>
      <w:bookmarkStart w:id="0" w:name="_GoBack"/>
      <w:bookmarkEnd w:id="0"/>
    </w:p>
    <w:p w:rsidR="00B3744C" w:rsidRDefault="00B3744C">
      <w:pPr>
        <w:jc w:val="right"/>
        <w:rPr>
          <w:b/>
          <w:sz w:val="26"/>
          <w:szCs w:val="26"/>
        </w:rPr>
      </w:pPr>
    </w:p>
    <w:p w:rsidR="00B3744C" w:rsidRDefault="00B3744C">
      <w:pPr>
        <w:jc w:val="right"/>
        <w:rPr>
          <w:b/>
          <w:sz w:val="26"/>
          <w:szCs w:val="26"/>
        </w:rPr>
      </w:pPr>
    </w:p>
    <w:p w:rsidR="004B334B" w:rsidRDefault="007B416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B334B" w:rsidRDefault="004B334B">
      <w:pPr>
        <w:jc w:val="right"/>
        <w:rPr>
          <w:b/>
          <w:sz w:val="26"/>
          <w:szCs w:val="26"/>
        </w:rPr>
      </w:pPr>
    </w:p>
    <w:p w:rsidR="004B334B" w:rsidRDefault="007B41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Концепция международной лаборатории </w:t>
      </w:r>
    </w:p>
    <w:p w:rsidR="004B334B" w:rsidRDefault="007B41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квантовой оптоэлектроники факультета Санкт-Петербургская школа физико-математических и компьютерных наук НИУ ВШЭ</w:t>
      </w:r>
      <w:r w:rsidR="00CC5AF0"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</w:rPr>
        <w:t xml:space="preserve"> Санкт-Петербург</w:t>
      </w:r>
    </w:p>
    <w:p w:rsidR="004B334B" w:rsidRDefault="004B334B">
      <w:pPr>
        <w:ind w:firstLine="708"/>
        <w:jc w:val="both"/>
        <w:rPr>
          <w:b/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Предпосылки создания лаборатории. </w:t>
      </w:r>
      <w:r>
        <w:rPr>
          <w:sz w:val="26"/>
          <w:szCs w:val="26"/>
        </w:rPr>
        <w:t>В настоящее время в НИУ ВШЭ принято решение об открытии в НИУ ВШЭ – Санкт-Петербург на базе факультета Санкт-Петербургская школа физико-математических и компьютерных наук бакалаврской и магистерской программ по направлению “Физика”, а также</w:t>
      </w:r>
      <w:r w:rsidR="00F27A97">
        <w:rPr>
          <w:sz w:val="26"/>
          <w:szCs w:val="26"/>
        </w:rPr>
        <w:t xml:space="preserve"> о развитии</w:t>
      </w:r>
      <w:r>
        <w:rPr>
          <w:sz w:val="26"/>
          <w:szCs w:val="26"/>
        </w:rPr>
        <w:t xml:space="preserve"> научной и образовательной деятельности в области “Физика”. В этой связи представляется важным и целесообразным открытие международной лаборатории квантовой оптоэлектроники (далее – Лаборатория) в структуре факультета Санкт-Петербургская школа физико-математических и компьютерных наук НИУ ВШЭ – Санкт-Петербург. 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Состояние предметной области в России и за рубежом. </w:t>
      </w:r>
      <w:r>
        <w:rPr>
          <w:sz w:val="26"/>
          <w:szCs w:val="26"/>
        </w:rPr>
        <w:t>Исследования в области оптических микрорезонаторов и полупроводниковых квантово-размерных структур находятся на переднем крае современной науки. Теоретические исследования фундаментальных аспектов оптики и физики полупроводников (таких как исследование электронной структуры и механизмов рекомбинации носителей в низкоразмерных структурах, взаимодействие локализованных оптических мод с одиночными квантовыми излучателями и массивами квантовых точек, испускание одиночных и запутанных фотонов и т. д.) тесно связаны с разработкой методов синтеза полупроводниковых материалов и прикладными исследованиями ориентированных на устройства явлений, таких как эффективность излучения света, отвод тепла, электрическое сопротивление и т.д. Движущей силой этого исследования является интерес к созданию миниатюрных оптоэлектронных компонент, работающих на новых принципах для систем оптической связи, обработки данных, детекторов и датчиков.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Колоссальный рост объема разнообразной информации в современном обществе  (30% в год), называемый информационным взрывом, настоятельно требует новых решений для передачи и обработки данных. В настоящее время общепризнанно, что оптическая передача данных обеспечивает большую скорость и меньшее энергопотребление по сравнению с традиционными методами. Постепенно происходит переход к оптической передаче данных на все более короткие расстояния, что требует использования новых физических принципов и разработки новых типов фотонных приборов сверхмалого размера. Теоретические и экспериментальные исследования подобного рода приборов является крайне актуальной задачей современной физики и оптоэлектроники. 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Обоснование создания Лаборатории. </w:t>
      </w:r>
      <w:r>
        <w:rPr>
          <w:sz w:val="26"/>
          <w:szCs w:val="26"/>
        </w:rPr>
        <w:t xml:space="preserve">Развитие физического образования в </w:t>
      </w:r>
      <w:r w:rsidR="00F27A97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Санкт-Петербурге имеет достаточно долгую и славную историю. Создание в 1918 году в Санкт-Петербурге Физико-технического института РАН, появление сильных научных школ в области физики полупроводников, оптики, математической и теоретической физики способствовало превращению Санкт-Петербурга в один из признанных центров развития физики в мире. Параллельно с этим развивалась и образовательная деятельность - физический факультет СПбГУ, физико-механический факультет СПбГПУ и ряд других образовательных организаций города готовили блестящих специалистов как в области теоретической, так и в области экспериментальной физики. К сожалению, в последние три десятилетия поток талантливых абитуриентов в традиционные центры подготовки кадров в области физики в Санкт-Петербурге - физический факультет СПбГУ и физико-механический факультет СПбГПУ - практически иссяк. При этом потребность в сильных кадрах в области физики по-прежнему велика - и в России, и за рубежом. Велик также и поток абитуриентов из лучших физико-математических школ Санкт-Петербурга и России, желающих посвятить свою жизнь физике. Наконец, остается крайне высокой репутация </w:t>
      </w:r>
      <w:r w:rsidR="00F27A97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Санкт-Петербурга как одного из ведущих мировых центров подготовки кадров в области физики, что привлекает в Санкт-Петербург довольно сильных студентов и аспирантов из-за рубежа. 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появление в одном из самых динамично развивающихся вузов города – НИУ ВШЭ – Санкт-Петербург - нового научно-образовательного направления “физика”, открытие бакалаврской и магистерской программы, создание Лаборатории может стать своевременным ответом на обозначенные выше проблемы и вызовы, будет важным инструментом в деле становления </w:t>
      </w:r>
      <w:r w:rsidR="00CC5AF0">
        <w:rPr>
          <w:sz w:val="26"/>
          <w:szCs w:val="26"/>
        </w:rPr>
        <w:t>Национального исследовательского университета «</w:t>
      </w:r>
      <w:r>
        <w:rPr>
          <w:sz w:val="26"/>
          <w:szCs w:val="26"/>
        </w:rPr>
        <w:t>Высшей школы экономики</w:t>
      </w:r>
      <w:r w:rsidR="00CC5AF0">
        <w:rPr>
          <w:sz w:val="26"/>
          <w:szCs w:val="26"/>
        </w:rPr>
        <w:t>»</w:t>
      </w:r>
      <w:r>
        <w:rPr>
          <w:sz w:val="26"/>
          <w:szCs w:val="26"/>
        </w:rPr>
        <w:t xml:space="preserve"> как одного из ведущих центров подготовки кадров в области современной физики как в стране, так и за рубежом, а также укрепит позиции ВШЭ как активно развивающегося полнопрофильного классического университета.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4. Цель создания</w:t>
      </w:r>
      <w:r w:rsidR="00CC5AF0">
        <w:rPr>
          <w:b/>
          <w:sz w:val="26"/>
          <w:szCs w:val="26"/>
        </w:rPr>
        <w:t xml:space="preserve"> Лаборатории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Лаборатория создается в целях проведения научных исследований в области экспериментальных и теоретических исследований оптических и структурных свойств полупроводниковых материалов и полупроводниковых наногетероструктур. Это направление исследований продолжает оставаться одним из центральных в области современной физики и будет определять «лицо» физического направления в кампусе.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5. Задачи</w:t>
      </w:r>
      <w:r w:rsidR="00CC5AF0">
        <w:rPr>
          <w:b/>
          <w:sz w:val="26"/>
          <w:szCs w:val="26"/>
        </w:rPr>
        <w:t xml:space="preserve"> Лаборатории</w:t>
      </w:r>
      <w:r>
        <w:rPr>
          <w:sz w:val="26"/>
          <w:szCs w:val="26"/>
        </w:rPr>
        <w:t xml:space="preserve">. 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Исследование физических явлений в новых типах нанофотонных структур с квантоворазмерной активной областью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Разработка фундаментальных основ применения данных структур для оптической передачи данных и создания ключевых элементов фотонных интегральных схем нового поколения, включая импульсные нейронные сети. 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Участие в образовательной деятельности, включая участие в разработке и реализации образовательных программ в области физики.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6. Описание научно-исследовательской деятельности. </w:t>
      </w:r>
      <w:r>
        <w:rPr>
          <w:sz w:val="26"/>
          <w:szCs w:val="26"/>
        </w:rPr>
        <w:t xml:space="preserve">Лаборатория планирует вести исследования в двух взаимосвязанных направлениях: разработка сверхмалых высокоэффективных источников излучения на основе микродисковых и </w:t>
      </w:r>
      <w:r>
        <w:rPr>
          <w:sz w:val="26"/>
          <w:szCs w:val="26"/>
        </w:rPr>
        <w:lastRenderedPageBreak/>
        <w:t xml:space="preserve">микрокольцевых лазеров для оптической передачи информации и разработка элементов импульсных нейронных сетей. Ожидается, что созданные источники излучения будут обладать рядом рекордных характеристик: сверхмалым пороговым током, высокой температурной стабильностью и обеспечивать высокую скорость передачи информации (&gt; 10 Гб/c на канал). </w:t>
      </w:r>
    </w:p>
    <w:p w:rsidR="004B334B" w:rsidRDefault="007B41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Лаборатория сконцентрируется на оптических исследованиях с высоким временным разрешением, а также уникальных исследованиях, совмещающих высокое временное и пространственное разрешение. Для этого в НИУ ВШЭ </w:t>
      </w:r>
      <w:r w:rsidR="00F27A97">
        <w:rPr>
          <w:sz w:val="26"/>
          <w:szCs w:val="26"/>
        </w:rPr>
        <w:t xml:space="preserve">– Санкт-Петербург </w:t>
      </w:r>
      <w:r>
        <w:rPr>
          <w:sz w:val="26"/>
          <w:szCs w:val="26"/>
        </w:rPr>
        <w:t xml:space="preserve">будет создана уникальная для России  экспериментальная установка. Кроме того, предполагается, что в Лаборатории на высоком уровне будет проводиться теоретическое моделирование исследуемых физических процессов и разрабатываемых приборов. В дальнейшем планируется создать свою уникальную нишу фундаментальных исследований на стыке физики и математики, что позволить обеспечить более автономное функционирование Лаборатории с упором на уникальные оптические исследования и их моделирование. 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исследование нанофотонных структур будет включать в себя следующие основные этапы:</w:t>
      </w:r>
    </w:p>
    <w:p w:rsidR="004B334B" w:rsidRDefault="007B41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эпитаксиальный синтез планарных полупроводниковых многослойных структур;</w:t>
      </w:r>
    </w:p>
    <w:p w:rsidR="004B334B" w:rsidRDefault="007B41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изготовление нанофотонных структур методами пост-ростовой обработки;</w:t>
      </w:r>
    </w:p>
    <w:p w:rsidR="004B334B" w:rsidRDefault="007B41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тестирование образцов структурными (сканирующая электронная микроскопия, оптическая микроскопия, просвечивающая электронная микроскопия) и оптическими методами. 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Взаимодействие со структурными подразделениями НИУ ВШЭ, а также сторонними организациями. </w:t>
      </w:r>
      <w:r>
        <w:rPr>
          <w:sz w:val="26"/>
          <w:szCs w:val="26"/>
        </w:rPr>
        <w:t>Лаборатория планирует тесное взаимодействие с научными и образовательными структурными единицами факультета Санкт-Петербургской школы физико-математических и компьютерных наук, а также другими факультетами и научными центрами НИУ ВШЭ. Предполагается, что работники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факультета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будут осуществлять компьютерное моделирование разрабатываемых нейронных сетей на основе фотонных структур, а на следующих этапах проведут анализ возможности их использования для резервуарных вычислений. Работники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создаваемой Лаборатории также будут принимать участие в подготовке студентов в рамках бакалаврской и магистерской программ по направлению “Физика”, открывающихся в 2020 году в </w:t>
      </w:r>
      <w:r>
        <w:rPr>
          <w:sz w:val="26"/>
          <w:szCs w:val="26"/>
        </w:rPr>
        <w:br/>
        <w:t xml:space="preserve"> НИУ ВШЭ - Санкт-Петербург.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 минимум в течение первых трех лет планируется достаточно тесное сотрудничество с научными коллективами Санкт-Петербургского национального исследовательского академического университета имени Ж.И. Алферова Российской академии наук (СПбАУ) и физико-технического института РАН им. А.Ф. Иоффе (ФТИ им. А.Ф. Иоффе) для изготовления экспериментальных образцов и их предварительного тестирования. Подобное сотрудничество существенным образом расширит спектр исследовательских возможностей коллектива на период становления Лаборатории.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bookmarkStart w:id="1" w:name="_gjdgxs" w:colFirst="0" w:colLast="0"/>
      <w:bookmarkEnd w:id="1"/>
      <w:r>
        <w:rPr>
          <w:sz w:val="26"/>
          <w:szCs w:val="26"/>
        </w:rPr>
        <w:t xml:space="preserve">Планируется международное сотрудничество с целым рядом ведущих зарубежных университетов и компаний, с которыми ранее были налажены тесные долговременные связи. Данные университеты могут предоставлять </w:t>
      </w:r>
      <w:r>
        <w:rPr>
          <w:sz w:val="26"/>
          <w:szCs w:val="26"/>
        </w:rPr>
        <w:lastRenderedPageBreak/>
        <w:t>экспериментальные образцы. Кроме того, там могут проводиться дополнительные исследования в рамках научных командировок.</w:t>
      </w:r>
    </w:p>
    <w:p w:rsidR="004B334B" w:rsidRPr="007B4164" w:rsidRDefault="007B4164">
      <w:pPr>
        <w:ind w:firstLine="708"/>
        <w:jc w:val="both"/>
        <w:rPr>
          <w:sz w:val="26"/>
          <w:szCs w:val="26"/>
          <w:lang w:val="en-US"/>
        </w:rPr>
      </w:pPr>
      <w:bookmarkStart w:id="2" w:name="_30j0zll" w:colFirst="0" w:colLast="0"/>
      <w:bookmarkEnd w:id="2"/>
      <w:r>
        <w:rPr>
          <w:sz w:val="26"/>
          <w:szCs w:val="26"/>
        </w:rPr>
        <w:t>С 1 сентября 2020 года планируется привлечь к работе в Лаборатории ведущего международного ученого. В</w:t>
      </w:r>
      <w:r w:rsidRPr="007B416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настоящий</w:t>
      </w:r>
      <w:r w:rsidRPr="007B416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момент</w:t>
      </w:r>
      <w:r w:rsidRPr="007B416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ведутся</w:t>
      </w:r>
      <w:r w:rsidRPr="007B416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переговоры</w:t>
      </w:r>
      <w:r w:rsidRPr="007B416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</w:t>
      </w:r>
      <w:r w:rsidRPr="007B4164">
        <w:rPr>
          <w:sz w:val="26"/>
          <w:szCs w:val="26"/>
          <w:lang w:val="en-US"/>
        </w:rPr>
        <w:t xml:space="preserve"> Prof. Levon Asryan, (Virginia Polytechnic Institute and State University (</w:t>
      </w:r>
      <w:r>
        <w:rPr>
          <w:sz w:val="26"/>
          <w:szCs w:val="26"/>
        </w:rPr>
        <w:t>США</w:t>
      </w:r>
      <w:r w:rsidRPr="007B4164">
        <w:rPr>
          <w:sz w:val="26"/>
          <w:szCs w:val="26"/>
          <w:lang w:val="en-US"/>
        </w:rPr>
        <w:t>)), Professor Huiyun Liu, Department of Electronic and Electrical Engineering, University College London (</w:t>
      </w:r>
      <w:r>
        <w:rPr>
          <w:sz w:val="26"/>
          <w:szCs w:val="26"/>
        </w:rPr>
        <w:t>Великобритания</w:t>
      </w:r>
      <w:r w:rsidRPr="007B4164">
        <w:rPr>
          <w:sz w:val="26"/>
          <w:szCs w:val="26"/>
          <w:lang w:val="en-US"/>
        </w:rPr>
        <w:t>), Prof Alexander Tagantsev, École polytechnique fédérale de Lausanne (</w:t>
      </w:r>
      <w:r>
        <w:rPr>
          <w:sz w:val="26"/>
          <w:szCs w:val="26"/>
        </w:rPr>
        <w:t>Швейцария</w:t>
      </w:r>
      <w:r w:rsidRPr="007B4164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</w:rPr>
        <w:t>и</w:t>
      </w:r>
      <w:r w:rsidRPr="007B416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др</w:t>
      </w:r>
      <w:r w:rsidRPr="007B4164">
        <w:rPr>
          <w:sz w:val="26"/>
          <w:szCs w:val="26"/>
          <w:lang w:val="en-US"/>
        </w:rPr>
        <w:t>.</w:t>
      </w:r>
    </w:p>
    <w:p w:rsidR="004B334B" w:rsidRPr="007B4164" w:rsidRDefault="004B334B">
      <w:pPr>
        <w:ind w:firstLine="708"/>
        <w:jc w:val="both"/>
        <w:rPr>
          <w:sz w:val="26"/>
          <w:szCs w:val="26"/>
          <w:lang w:val="en-US"/>
        </w:rPr>
      </w:pPr>
      <w:bookmarkStart w:id="3" w:name="_1fob9te" w:colFirst="0" w:colLast="0"/>
      <w:bookmarkEnd w:id="3"/>
    </w:p>
    <w:p w:rsidR="004B334B" w:rsidRDefault="007B4164">
      <w:pPr>
        <w:ind w:firstLine="708"/>
        <w:jc w:val="both"/>
        <w:rPr>
          <w:sz w:val="26"/>
          <w:szCs w:val="26"/>
        </w:rPr>
      </w:pPr>
      <w:bookmarkStart w:id="4" w:name="_3znysh7" w:colFirst="0" w:colLast="0"/>
      <w:bookmarkEnd w:id="4"/>
      <w:r>
        <w:rPr>
          <w:b/>
          <w:sz w:val="26"/>
          <w:szCs w:val="26"/>
        </w:rPr>
        <w:t xml:space="preserve">8. Ожидаемые результаты от создания Лаборатории. </w:t>
      </w:r>
      <w:r>
        <w:rPr>
          <w:sz w:val="26"/>
          <w:szCs w:val="26"/>
        </w:rPr>
        <w:t xml:space="preserve">Представляется, что создание Лаборатории будет иметь несколько важных положительных прямых и внешних эффектов для развития НИУ ВШЭ – Санкт-Петербург и всего университета. </w:t>
      </w:r>
      <w:r w:rsidRPr="00CC5AF0">
        <w:rPr>
          <w:sz w:val="26"/>
          <w:szCs w:val="26"/>
        </w:rPr>
        <w:t>Первое - мультидисциплинарность. НИУ ВШЭ – Санкт-Петербург в течение последних нескольких лет уверенно идет по пути формирования многодисциплинарных факультетов. С этой точки зрения открытие и развитие физического направления в целом и открытие в кампусе Лаборатории в частности является важным шагом к диверсификации научно-образовательной деятельности нового факультета Санкт-Петербургская школа физико-математических и компьютерных наук. Второе – высокоуровневые эффективные партнерства. Развитие современных образовательных и исследовательских программ по физике в НИУ ВШЭ – Санкт-Петербург позволит начать (или развить на новом уровне) широкомасштабную программу партнерства с рядом институтов РАН и университетов с высокой академической репутацией (ФТИ РАН, ПИЯФ, ИТМО и др.), что вряд ли будет возможно без наличия физического направления в НИУ ВШЭ – Санкт-Петербург. В частности, достигнута предварительная договоренность с ИТМО о реализации бакалаврской программы по физике в сетевом формате, а с ФТИ РАН им. А.Ф. Иоффе, ПИЯФ и ПОМИ РАН - предварительные договоренности о создани</w:t>
      </w:r>
      <w:r w:rsidR="00CC5AF0">
        <w:rPr>
          <w:sz w:val="26"/>
          <w:szCs w:val="26"/>
        </w:rPr>
        <w:t>и базовых кафедр в НИУ ВШЭ – Санкт-Петербург</w:t>
      </w:r>
      <w:r w:rsidRPr="00CC5AF0">
        <w:rPr>
          <w:sz w:val="26"/>
          <w:szCs w:val="26"/>
        </w:rPr>
        <w:t>. Третье – высокая результативность научной деятельности. Важно отметить высокий уровень и большое количество публикаций предполагаемых работников Лаборатории в высокорейтинговых научных журналах. Наличие таких публикаций серьезно</w:t>
      </w:r>
      <w:r>
        <w:rPr>
          <w:sz w:val="26"/>
          <w:szCs w:val="26"/>
        </w:rPr>
        <w:t xml:space="preserve"> усилит позиции кампуса с точки зрения показателей публикационной активности. Ожидается, что в ближайшие годы доля публикаций работников – представителей физического направления – может составить 15-20% от общего числа публикаций НПР кампуса в изданиях, ин</w:t>
      </w:r>
      <w:r w:rsidR="00CC5AF0">
        <w:rPr>
          <w:sz w:val="26"/>
          <w:szCs w:val="26"/>
        </w:rPr>
        <w:t>дексируемых в базах Scopus и W</w:t>
      </w:r>
      <w:r w:rsidR="00CC5AF0">
        <w:rPr>
          <w:sz w:val="26"/>
          <w:szCs w:val="26"/>
          <w:lang w:val="en-US"/>
        </w:rPr>
        <w:t>eb</w:t>
      </w:r>
      <w:r w:rsidR="00CC5AF0" w:rsidRPr="00CC5AF0">
        <w:rPr>
          <w:sz w:val="26"/>
          <w:szCs w:val="26"/>
        </w:rPr>
        <w:t xml:space="preserve"> </w:t>
      </w:r>
      <w:r w:rsidR="00CC5AF0">
        <w:rPr>
          <w:sz w:val="26"/>
          <w:szCs w:val="26"/>
          <w:lang w:val="en-US"/>
        </w:rPr>
        <w:t>of</w:t>
      </w:r>
      <w:r w:rsidR="00CC5AF0" w:rsidRPr="00CC5AF0">
        <w:rPr>
          <w:sz w:val="26"/>
          <w:szCs w:val="26"/>
        </w:rPr>
        <w:t xml:space="preserve"> </w:t>
      </w:r>
      <w:r w:rsidR="00CC5AF0">
        <w:rPr>
          <w:sz w:val="26"/>
          <w:szCs w:val="26"/>
          <w:lang w:val="en-US"/>
        </w:rPr>
        <w:t>Science</w:t>
      </w:r>
      <w:r>
        <w:rPr>
          <w:sz w:val="26"/>
          <w:szCs w:val="26"/>
        </w:rPr>
        <w:t>. Кроме того, предполагаемые работники Лаборатории имеют большой опыт участия в разного рода конкурсах грантов. Создание такой Лаборатории в поможет существенно нарастить (по сути, удвоить) объем привлеченных средств, получаемых за счет внешних грантов.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9. Финансирование деятельности Лаборатории. </w:t>
      </w:r>
      <w:r>
        <w:rPr>
          <w:sz w:val="26"/>
          <w:szCs w:val="26"/>
        </w:rPr>
        <w:t>В первые три года бюджет Лаборатории на ФОТ составит 8 м</w:t>
      </w:r>
      <w:r w:rsidR="00CC5AF0">
        <w:rPr>
          <w:sz w:val="26"/>
          <w:szCs w:val="26"/>
        </w:rPr>
        <w:t xml:space="preserve">лн. руб. в год, из них финансирования из средств НИУ ВШЭ составит </w:t>
      </w:r>
      <w:r>
        <w:rPr>
          <w:sz w:val="26"/>
          <w:szCs w:val="26"/>
        </w:rPr>
        <w:t>4 млн.</w:t>
      </w:r>
      <w:r w:rsidR="00CC5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руб., </w:t>
      </w:r>
      <w:r w:rsidR="00CC5AF0">
        <w:rPr>
          <w:sz w:val="26"/>
          <w:szCs w:val="26"/>
        </w:rPr>
        <w:t xml:space="preserve">из средств </w:t>
      </w:r>
      <w:r>
        <w:rPr>
          <w:sz w:val="26"/>
          <w:szCs w:val="26"/>
        </w:rPr>
        <w:t xml:space="preserve">НИУ ВШЭ - </w:t>
      </w:r>
      <w:r w:rsidR="00CC5AF0">
        <w:rPr>
          <w:sz w:val="26"/>
          <w:szCs w:val="26"/>
        </w:rPr>
        <w:t>Санкт-Петербург - 4 млн. руб. Р</w:t>
      </w:r>
      <w:r>
        <w:rPr>
          <w:sz w:val="26"/>
          <w:szCs w:val="26"/>
        </w:rPr>
        <w:t>аботники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Лабор</w:t>
      </w:r>
      <w:r w:rsidR="00CC5AF0">
        <w:rPr>
          <w:sz w:val="26"/>
          <w:szCs w:val="26"/>
        </w:rPr>
        <w:t xml:space="preserve">атории будут </w:t>
      </w:r>
      <w:r>
        <w:rPr>
          <w:sz w:val="26"/>
          <w:szCs w:val="26"/>
        </w:rPr>
        <w:t>в общем порядке</w:t>
      </w:r>
      <w:r w:rsidR="00CC5AF0">
        <w:rPr>
          <w:sz w:val="26"/>
          <w:szCs w:val="26"/>
        </w:rPr>
        <w:t xml:space="preserve"> участвовать в конкурсах поддержки академической мобильности и кампании по назначению академических надбавок</w:t>
      </w:r>
      <w:r>
        <w:rPr>
          <w:sz w:val="26"/>
          <w:szCs w:val="26"/>
        </w:rPr>
        <w:t>.</w:t>
      </w:r>
    </w:p>
    <w:p w:rsidR="004B334B" w:rsidRDefault="007B416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Начиная с четвертого года базовое финансирование Лаборатории в объеме 4 млн.</w:t>
      </w:r>
      <w:r w:rsidR="00CC5AF0">
        <w:rPr>
          <w:sz w:val="26"/>
          <w:szCs w:val="26"/>
        </w:rPr>
        <w:t xml:space="preserve"> </w:t>
      </w:r>
      <w:r>
        <w:rPr>
          <w:sz w:val="26"/>
          <w:szCs w:val="26"/>
        </w:rPr>
        <w:t>руб. будет осуществляться за счет средств НИУ ВШЭ</w:t>
      </w:r>
      <w:r w:rsidR="00CC5AF0" w:rsidRPr="00CC5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Санкт-Петербург. </w:t>
      </w:r>
      <w:r>
        <w:rPr>
          <w:sz w:val="26"/>
          <w:szCs w:val="26"/>
        </w:rPr>
        <w:lastRenderedPageBreak/>
        <w:t>Финансирование из центрального бюджета будет заключаться в оплате академических надбавок и мобильности работников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Лаборатории в рамках о</w:t>
      </w:r>
      <w:r w:rsidR="00F27A97">
        <w:rPr>
          <w:sz w:val="26"/>
          <w:szCs w:val="26"/>
        </w:rPr>
        <w:t>бщеуниверситетских программ. С 2020 года планируется привлечение Лабораторией средств внешнего финансирования</w:t>
      </w:r>
      <w:r>
        <w:rPr>
          <w:sz w:val="26"/>
          <w:szCs w:val="26"/>
        </w:rPr>
        <w:t>, в том числе, соответствующие накладные отчисления (1,35 млн.</w:t>
      </w:r>
      <w:r w:rsidR="00F27A97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9B47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27A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7A97">
        <w:rPr>
          <w:sz w:val="26"/>
          <w:szCs w:val="26"/>
        </w:rPr>
        <w:t xml:space="preserve">в </w:t>
      </w:r>
      <w:r>
        <w:rPr>
          <w:sz w:val="26"/>
          <w:szCs w:val="26"/>
        </w:rPr>
        <w:t>2020 год</w:t>
      </w:r>
      <w:r w:rsidR="00F27A97">
        <w:rPr>
          <w:sz w:val="26"/>
          <w:szCs w:val="26"/>
        </w:rPr>
        <w:t>у</w:t>
      </w:r>
      <w:r>
        <w:rPr>
          <w:sz w:val="26"/>
          <w:szCs w:val="26"/>
        </w:rPr>
        <w:t>, 15 млн.</w:t>
      </w:r>
      <w:r w:rsidR="00F27A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</w:t>
      </w:r>
      <w:r w:rsidR="00F27A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7A97">
        <w:rPr>
          <w:sz w:val="26"/>
          <w:szCs w:val="26"/>
        </w:rPr>
        <w:t xml:space="preserve">в </w:t>
      </w:r>
      <w:r>
        <w:rPr>
          <w:sz w:val="26"/>
          <w:szCs w:val="26"/>
        </w:rPr>
        <w:t>2021 год</w:t>
      </w:r>
      <w:r w:rsidR="00F27A97">
        <w:rPr>
          <w:sz w:val="26"/>
          <w:szCs w:val="26"/>
        </w:rPr>
        <w:t>у</w:t>
      </w:r>
      <w:r>
        <w:rPr>
          <w:sz w:val="26"/>
          <w:szCs w:val="26"/>
        </w:rPr>
        <w:t>, 25 млн.</w:t>
      </w:r>
      <w:r w:rsidR="00F27A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</w:t>
      </w:r>
      <w:r w:rsidR="00F27A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7A97">
        <w:rPr>
          <w:sz w:val="26"/>
          <w:szCs w:val="26"/>
        </w:rPr>
        <w:t xml:space="preserve">в </w:t>
      </w:r>
      <w:r>
        <w:rPr>
          <w:sz w:val="26"/>
          <w:szCs w:val="26"/>
        </w:rPr>
        <w:t>2022 год</w:t>
      </w:r>
      <w:r w:rsidR="00F27A97">
        <w:rPr>
          <w:sz w:val="26"/>
          <w:szCs w:val="26"/>
        </w:rPr>
        <w:t>у</w:t>
      </w:r>
      <w:r>
        <w:rPr>
          <w:sz w:val="26"/>
          <w:szCs w:val="26"/>
        </w:rPr>
        <w:t>, 30 млн.</w:t>
      </w:r>
      <w:r w:rsidR="009B47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</w:t>
      </w:r>
      <w:r w:rsidR="00F27A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7A97">
        <w:rPr>
          <w:sz w:val="26"/>
          <w:szCs w:val="26"/>
        </w:rPr>
        <w:t xml:space="preserve">в </w:t>
      </w:r>
      <w:r>
        <w:rPr>
          <w:sz w:val="26"/>
          <w:szCs w:val="26"/>
        </w:rPr>
        <w:t>2023 год</w:t>
      </w:r>
      <w:r w:rsidR="00F27A97">
        <w:rPr>
          <w:sz w:val="26"/>
          <w:szCs w:val="26"/>
        </w:rPr>
        <w:t>у</w:t>
      </w:r>
      <w:r>
        <w:rPr>
          <w:sz w:val="26"/>
          <w:szCs w:val="26"/>
        </w:rPr>
        <w:t>, 40 млн.</w:t>
      </w:r>
      <w:r w:rsidR="00F27A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</w:t>
      </w:r>
      <w:r w:rsidR="00F27A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7A97">
        <w:rPr>
          <w:sz w:val="26"/>
          <w:szCs w:val="26"/>
        </w:rPr>
        <w:t xml:space="preserve">в </w:t>
      </w:r>
      <w:r>
        <w:rPr>
          <w:sz w:val="26"/>
          <w:szCs w:val="26"/>
        </w:rPr>
        <w:t>2024 год</w:t>
      </w:r>
      <w:r w:rsidR="00F27A97">
        <w:rPr>
          <w:sz w:val="26"/>
          <w:szCs w:val="26"/>
        </w:rPr>
        <w:t>у</w:t>
      </w:r>
      <w:r>
        <w:rPr>
          <w:sz w:val="26"/>
          <w:szCs w:val="26"/>
        </w:rPr>
        <w:t xml:space="preserve">). </w:t>
      </w:r>
    </w:p>
    <w:p w:rsidR="004B334B" w:rsidRDefault="004B334B">
      <w:pPr>
        <w:ind w:firstLine="708"/>
        <w:jc w:val="both"/>
        <w:rPr>
          <w:sz w:val="26"/>
          <w:szCs w:val="26"/>
        </w:rPr>
      </w:pPr>
      <w:bookmarkStart w:id="5" w:name="_2et92p0" w:colFirst="0" w:colLast="0"/>
      <w:bookmarkEnd w:id="5"/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 Сведения о руководителе и о кадровом составе. </w:t>
      </w:r>
      <w:r>
        <w:rPr>
          <w:sz w:val="26"/>
          <w:szCs w:val="26"/>
        </w:rPr>
        <w:t>Предполагаемый штат научных сотрудни</w:t>
      </w:r>
      <w:r w:rsidR="00F27A97">
        <w:rPr>
          <w:sz w:val="26"/>
          <w:szCs w:val="26"/>
        </w:rPr>
        <w:t>ков Лаборатории в 2020 году – 12 человек (8</w:t>
      </w:r>
      <w:r>
        <w:rPr>
          <w:sz w:val="26"/>
          <w:szCs w:val="26"/>
        </w:rPr>
        <w:t xml:space="preserve"> ставок), из них: 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Лабораторией - д.ф.-м.н. Кр</w:t>
      </w:r>
      <w:r w:rsidR="009B47B6">
        <w:rPr>
          <w:sz w:val="26"/>
          <w:szCs w:val="26"/>
        </w:rPr>
        <w:t>ыжановская Наталья Владимировна</w:t>
      </w:r>
      <w:r>
        <w:rPr>
          <w:sz w:val="26"/>
          <w:szCs w:val="26"/>
        </w:rPr>
        <w:t>;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Лаборатории - чл.-кор. РАН, д.ф.</w:t>
      </w:r>
      <w:r w:rsidR="009B47B6">
        <w:rPr>
          <w:sz w:val="26"/>
          <w:szCs w:val="26"/>
        </w:rPr>
        <w:t>-м.н. Жуков Алексей Евгеньевич;</w:t>
      </w:r>
    </w:p>
    <w:p w:rsidR="009B47B6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научный сотрудник д.ф.-м.н. Максимов Михаил Викторович; 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ведущий зарубежный сотрудник Лаборатории (кандидатура уточняется).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предполагается переход в штат Лаборатории с января 2020 года одного старшего научного сотрудника (к.ф.-м.н. А.М. Наточий), двух научных сотрудников и одного лаборанта, а также устройство по совместительству двух ведущих научных сотрудников, дву</w:t>
      </w:r>
      <w:r w:rsidR="00F27A97">
        <w:rPr>
          <w:sz w:val="26"/>
          <w:szCs w:val="26"/>
        </w:rPr>
        <w:t xml:space="preserve">х старших научных сотрудников, </w:t>
      </w:r>
      <w:r>
        <w:rPr>
          <w:sz w:val="26"/>
          <w:szCs w:val="26"/>
        </w:rPr>
        <w:t>одного научного сотрудника</w:t>
      </w:r>
      <w:r w:rsidR="00F27A97">
        <w:rPr>
          <w:sz w:val="26"/>
          <w:szCs w:val="26"/>
        </w:rPr>
        <w:t xml:space="preserve"> и одного менеджера</w:t>
      </w:r>
      <w:r>
        <w:rPr>
          <w:sz w:val="26"/>
          <w:szCs w:val="26"/>
        </w:rPr>
        <w:t xml:space="preserve">. 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дальнейшем предполагается расширение штата до 20-22 человек</w:t>
      </w:r>
      <w:r w:rsidR="00F27A97">
        <w:rPr>
          <w:sz w:val="26"/>
          <w:szCs w:val="26"/>
        </w:rPr>
        <w:t xml:space="preserve"> ориентировочно</w:t>
      </w:r>
      <w:r>
        <w:rPr>
          <w:sz w:val="26"/>
          <w:szCs w:val="26"/>
        </w:rPr>
        <w:t xml:space="preserve"> (18 ставок).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 Потребности в площадях, оборудовании.</w:t>
      </w:r>
    </w:p>
    <w:p w:rsidR="004B334B" w:rsidRDefault="007B41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настоящее время закончен ремонт помещения для Лаборатории на первом этаже нового корпуса НИУ ВШЭ - Санкт-Петербург по адресу Выборгская наб., д.59, корп.3 площадью 40 кв.м. с климатикой, подключением к воде и электричеству. Проектирование помещений проводилось совместно с представителями планируемой к созданию Лаборатории и учитывают все их пожелания по площадям и по оснащению этих помещений.</w:t>
      </w:r>
    </w:p>
    <w:p w:rsidR="004B334B" w:rsidRDefault="007B4164">
      <w:pPr>
        <w:ind w:firstLine="708"/>
        <w:jc w:val="both"/>
        <w:rPr>
          <w:sz w:val="26"/>
          <w:szCs w:val="26"/>
        </w:rPr>
      </w:pPr>
      <w:bookmarkStart w:id="6" w:name="_tyjcwt" w:colFirst="0" w:colLast="0"/>
      <w:bookmarkEnd w:id="6"/>
      <w:r>
        <w:rPr>
          <w:sz w:val="26"/>
          <w:szCs w:val="26"/>
        </w:rPr>
        <w:t xml:space="preserve">Предполагаемое для приобретения и размещения на территории НИУ ВШЭ в Санкт-Петербурге научно-диагностическое оборудование оценивается приблизительно в 100 млн. руб. </w:t>
      </w:r>
    </w:p>
    <w:p w:rsidR="004B334B" w:rsidRDefault="004B334B">
      <w:pPr>
        <w:ind w:firstLine="708"/>
        <w:jc w:val="both"/>
        <w:rPr>
          <w:sz w:val="26"/>
          <w:szCs w:val="26"/>
        </w:rPr>
      </w:pPr>
    </w:p>
    <w:p w:rsidR="004B334B" w:rsidRDefault="007B4164">
      <w:pPr>
        <w:tabs>
          <w:tab w:val="left" w:pos="1134"/>
        </w:tabs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Укрупненный список планируемого к закупке в НИУ ВШЭ</w:t>
      </w:r>
      <w:r w:rsidR="009B47B6">
        <w:rPr>
          <w:b/>
          <w:sz w:val="26"/>
          <w:szCs w:val="26"/>
        </w:rPr>
        <w:t xml:space="preserve"> – Санкт-Петербург</w:t>
      </w:r>
      <w:r>
        <w:rPr>
          <w:b/>
          <w:sz w:val="26"/>
          <w:szCs w:val="26"/>
        </w:rPr>
        <w:t xml:space="preserve"> оборудования:</w:t>
      </w:r>
    </w:p>
    <w:p w:rsidR="004B334B" w:rsidRDefault="007B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установка для спектральных исследований методом фотолюминесценции с высоким временным и пространственным разрешением – 37 млн. р.</w:t>
      </w:r>
    </w:p>
    <w:p w:rsidR="004B334B" w:rsidRDefault="007B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установка для исследований методом электролюминесценции с высоким временным и пространственным разрешением - 31 млн. руб. </w:t>
      </w:r>
    </w:p>
    <w:p w:rsidR="004B334B" w:rsidRDefault="007B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криостат замкнутого цикла - 20 млн. руб.</w:t>
      </w:r>
    </w:p>
    <w:p w:rsidR="004B334B" w:rsidRDefault="007B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объективы и оптомеханические компоненты - 5 млн. руб.</w:t>
      </w:r>
    </w:p>
    <w:p w:rsidR="004B334B" w:rsidRDefault="007B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оптические столы - 3 млн. руб.</w:t>
      </w:r>
    </w:p>
    <w:p w:rsidR="004B334B" w:rsidRDefault="007B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генераторы, источники излучение - 3 млн. руб.</w:t>
      </w:r>
    </w:p>
    <w:p w:rsidR="004B334B" w:rsidRDefault="007B416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локальная чистая зона - 0.6 млн. руб.</w:t>
      </w:r>
    </w:p>
    <w:p w:rsidR="004B334B" w:rsidRDefault="004B334B">
      <w:pPr>
        <w:jc w:val="both"/>
        <w:rPr>
          <w:sz w:val="26"/>
          <w:szCs w:val="26"/>
        </w:rPr>
      </w:pPr>
    </w:p>
    <w:p w:rsidR="004B334B" w:rsidRDefault="007B4164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12. Основные индикаторы Лаборатории в части публикаций и привлеченного финансирования:</w:t>
      </w:r>
      <w:r>
        <w:rPr>
          <w:sz w:val="26"/>
          <w:szCs w:val="26"/>
        </w:rPr>
        <w:t xml:space="preserve"> </w:t>
      </w:r>
    </w:p>
    <w:p w:rsidR="004B334B" w:rsidRDefault="004B334B">
      <w:pPr>
        <w:rPr>
          <w:b/>
          <w:sz w:val="26"/>
          <w:szCs w:val="26"/>
        </w:rPr>
      </w:pPr>
    </w:p>
    <w:tbl>
      <w:tblPr>
        <w:tblStyle w:val="a5"/>
        <w:tblW w:w="923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172"/>
        <w:gridCol w:w="816"/>
        <w:gridCol w:w="815"/>
        <w:gridCol w:w="815"/>
        <w:gridCol w:w="815"/>
        <w:gridCol w:w="800"/>
      </w:tblGrid>
      <w:tr w:rsidR="004B334B">
        <w:trPr>
          <w:trHeight w:val="54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г.</w:t>
            </w:r>
          </w:p>
        </w:tc>
      </w:tr>
      <w:tr w:rsidR="004B334B">
        <w:trPr>
          <w:trHeight w:val="88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статей работников Лаборатории с аффилиацией НИУ ВШЭ, в международных журналах, индексируемых WoS (ед.)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4B334B">
        <w:trPr>
          <w:trHeight w:val="60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статей в журналах уровня Q1/Q2 (ед.)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B334B">
        <w:trPr>
          <w:trHeight w:val="660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 w:rsidP="009B47B6">
            <w:pPr>
              <w:widowControl w:val="0"/>
              <w:spacing w:line="276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привлеченного внешнего финансирования (млн. руб.)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334B" w:rsidRDefault="007B4164">
            <w:pPr>
              <w:widowControl w:val="0"/>
              <w:spacing w:line="276" w:lineRule="auto"/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</w:tbl>
    <w:p w:rsidR="004B334B" w:rsidRDefault="004B334B">
      <w:pPr>
        <w:rPr>
          <w:sz w:val="26"/>
          <w:szCs w:val="26"/>
        </w:rPr>
      </w:pPr>
    </w:p>
    <w:sectPr w:rsidR="004B334B">
      <w:headerReference w:type="default" r:id="rId7"/>
      <w:footerReference w:type="default" r:id="rId8"/>
      <w:pgSz w:w="11907" w:h="16834"/>
      <w:pgMar w:top="1134" w:right="567" w:bottom="1134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97" w:rsidRDefault="00F27A97">
      <w:r>
        <w:separator/>
      </w:r>
    </w:p>
  </w:endnote>
  <w:endnote w:type="continuationSeparator" w:id="0">
    <w:p w:rsidR="00F27A97" w:rsidRDefault="00F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97" w:rsidRDefault="00F27A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744C">
      <w:rPr>
        <w:noProof/>
        <w:color w:val="000000"/>
      </w:rPr>
      <w:t>1</w:t>
    </w:r>
    <w:r>
      <w:rPr>
        <w:color w:val="000000"/>
      </w:rPr>
      <w:fldChar w:fldCharType="end"/>
    </w:r>
  </w:p>
  <w:p w:rsidR="00F27A97" w:rsidRDefault="00F27A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97" w:rsidRDefault="00F27A97">
      <w:r>
        <w:separator/>
      </w:r>
    </w:p>
  </w:footnote>
  <w:footnote w:type="continuationSeparator" w:id="0">
    <w:p w:rsidR="00F27A97" w:rsidRDefault="00F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97" w:rsidRDefault="00F27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008"/>
    <w:multiLevelType w:val="multilevel"/>
    <w:tmpl w:val="A4E0A4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C4DE7"/>
    <w:multiLevelType w:val="multilevel"/>
    <w:tmpl w:val="AC7A61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34B"/>
    <w:rsid w:val="001111D8"/>
    <w:rsid w:val="004B334B"/>
    <w:rsid w:val="005A0154"/>
    <w:rsid w:val="007B4164"/>
    <w:rsid w:val="009B47B6"/>
    <w:rsid w:val="00B3744C"/>
    <w:rsid w:val="00CC5AF0"/>
    <w:rsid w:val="00F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F595"/>
  <w15:docId w15:val="{55E38A03-9C26-4C3B-BC37-8B24581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360" w:lineRule="auto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line="360" w:lineRule="auto"/>
      <w:jc w:val="both"/>
      <w:outlineLvl w:val="1"/>
    </w:pPr>
    <w:rPr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Михайловская Алина Николаевна</cp:lastModifiedBy>
  <cp:revision>5</cp:revision>
  <dcterms:created xsi:type="dcterms:W3CDTF">2019-12-18T13:01:00Z</dcterms:created>
  <dcterms:modified xsi:type="dcterms:W3CDTF">2019-12-19T08:45:00Z</dcterms:modified>
</cp:coreProperties>
</file>