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3D" w:rsidRDefault="00107B58" w:rsidP="00107B58">
      <w:pPr>
        <w:rPr>
          <w:b/>
          <w:sz w:val="26"/>
          <w:szCs w:val="26"/>
          <w:lang w:val="en-US"/>
        </w:rPr>
      </w:pPr>
      <w:bookmarkStart w:id="0" w:name="_GoBack"/>
      <w:bookmarkEnd w:id="0"/>
      <w:r>
        <w:rPr>
          <w:sz w:val="26"/>
          <w:szCs w:val="26"/>
          <w:lang w:val="en-US"/>
        </w:rPr>
        <w:t>St. Petersburg School of Arts and Humanities/Department of History</w:t>
      </w:r>
    </w:p>
    <w:p w:rsidR="007B7744" w:rsidRPr="001E513D" w:rsidRDefault="001E513D" w:rsidP="00EF7749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Application for MAGOLEGO course</w:t>
      </w:r>
    </w:p>
    <w:p w:rsidR="007B7744" w:rsidRPr="008D1904" w:rsidRDefault="007B7744">
      <w:pPr>
        <w:rPr>
          <w:sz w:val="26"/>
          <w:szCs w:val="26"/>
        </w:rPr>
      </w:pPr>
      <w:r w:rsidRPr="008D1904">
        <w:rPr>
          <w:sz w:val="26"/>
          <w:szCs w:val="26"/>
        </w:rPr>
        <w:t xml:space="preserve">Прошу включить в </w:t>
      </w:r>
      <w:r>
        <w:rPr>
          <w:sz w:val="26"/>
          <w:szCs w:val="26"/>
        </w:rPr>
        <w:t>список</w:t>
      </w:r>
      <w:r w:rsidR="00776861">
        <w:rPr>
          <w:sz w:val="26"/>
          <w:szCs w:val="26"/>
        </w:rPr>
        <w:t xml:space="preserve">МАГОЛЕГО </w:t>
      </w:r>
      <w:r>
        <w:rPr>
          <w:sz w:val="26"/>
          <w:szCs w:val="26"/>
        </w:rPr>
        <w:t>в</w:t>
      </w:r>
      <w:r w:rsidRPr="008D1904">
        <w:rPr>
          <w:sz w:val="26"/>
          <w:szCs w:val="26"/>
        </w:rPr>
        <w:t xml:space="preserve"> 201</w:t>
      </w:r>
      <w:r w:rsidR="00441FF3">
        <w:rPr>
          <w:sz w:val="26"/>
          <w:szCs w:val="26"/>
        </w:rPr>
        <w:t>9</w:t>
      </w:r>
      <w:r w:rsidRPr="008D1904">
        <w:rPr>
          <w:sz w:val="26"/>
          <w:szCs w:val="26"/>
        </w:rPr>
        <w:t>/20</w:t>
      </w:r>
      <w:r w:rsidR="00441FF3">
        <w:rPr>
          <w:sz w:val="26"/>
          <w:szCs w:val="26"/>
        </w:rPr>
        <w:t>20</w:t>
      </w:r>
      <w:r w:rsidRPr="008D1904">
        <w:rPr>
          <w:sz w:val="26"/>
          <w:szCs w:val="26"/>
        </w:rPr>
        <w:t xml:space="preserve"> учебн</w:t>
      </w:r>
      <w:r>
        <w:rPr>
          <w:sz w:val="26"/>
          <w:szCs w:val="26"/>
        </w:rPr>
        <w:t>ом</w:t>
      </w:r>
      <w:r w:rsidRPr="008D1904">
        <w:rPr>
          <w:sz w:val="26"/>
          <w:szCs w:val="26"/>
        </w:rPr>
        <w:t xml:space="preserve"> год</w:t>
      </w:r>
      <w:r w:rsidR="00776861">
        <w:rPr>
          <w:sz w:val="26"/>
          <w:szCs w:val="26"/>
        </w:rPr>
        <w:t>у</w:t>
      </w:r>
      <w:r>
        <w:rPr>
          <w:sz w:val="26"/>
          <w:szCs w:val="26"/>
        </w:rPr>
        <w:t xml:space="preserve"> дисциплину:</w:t>
      </w:r>
    </w:p>
    <w:tbl>
      <w:tblPr>
        <w:tblW w:w="10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11"/>
        <w:gridCol w:w="1985"/>
        <w:gridCol w:w="2550"/>
        <w:gridCol w:w="1359"/>
      </w:tblGrid>
      <w:tr w:rsidR="007B7744" w:rsidRPr="00FB6619" w:rsidTr="00E221DB">
        <w:trPr>
          <w:trHeight w:val="537"/>
        </w:trPr>
        <w:tc>
          <w:tcPr>
            <w:tcW w:w="851" w:type="dxa"/>
            <w:vAlign w:val="center"/>
          </w:tcPr>
          <w:p w:rsidR="007B7744" w:rsidRPr="00FB6619" w:rsidRDefault="007B7744" w:rsidP="00E221DB">
            <w:pPr>
              <w:pStyle w:val="1"/>
              <w:numPr>
                <w:ilvl w:val="0"/>
                <w:numId w:val="1"/>
              </w:numPr>
              <w:spacing w:after="0" w:line="192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7744" w:rsidRPr="001E513D" w:rsidRDefault="001E513D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Course title in Russian</w:t>
            </w:r>
          </w:p>
        </w:tc>
        <w:tc>
          <w:tcPr>
            <w:tcW w:w="5894" w:type="dxa"/>
            <w:gridSpan w:val="3"/>
            <w:vAlign w:val="center"/>
          </w:tcPr>
          <w:p w:rsidR="007B7744" w:rsidRPr="00486CA6" w:rsidRDefault="00486CA6" w:rsidP="00A806F6">
            <w:pPr>
              <w:spacing w:after="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Глобальное неравенство и экономические </w:t>
            </w:r>
            <w:r w:rsidR="00A806F6">
              <w:rPr>
                <w:sz w:val="26"/>
                <w:szCs w:val="26"/>
              </w:rPr>
              <w:t>институты</w:t>
            </w:r>
            <w:r>
              <w:rPr>
                <w:sz w:val="26"/>
                <w:szCs w:val="26"/>
              </w:rPr>
              <w:t xml:space="preserve"> в </w:t>
            </w:r>
            <w:r w:rsidR="00A806F6">
              <w:rPr>
                <w:sz w:val="26"/>
                <w:szCs w:val="26"/>
              </w:rPr>
              <w:t>исторической</w:t>
            </w:r>
            <w:r>
              <w:rPr>
                <w:sz w:val="26"/>
                <w:szCs w:val="26"/>
              </w:rPr>
              <w:t xml:space="preserve"> перспективе</w:t>
            </w:r>
          </w:p>
        </w:tc>
      </w:tr>
      <w:tr w:rsidR="007B7744" w:rsidRPr="00486CA6" w:rsidTr="00E221DB">
        <w:trPr>
          <w:trHeight w:val="537"/>
        </w:trPr>
        <w:tc>
          <w:tcPr>
            <w:tcW w:w="851" w:type="dxa"/>
            <w:vAlign w:val="center"/>
          </w:tcPr>
          <w:p w:rsidR="007B7744" w:rsidRPr="00FB6619" w:rsidRDefault="007B7744" w:rsidP="00E221DB">
            <w:pPr>
              <w:pStyle w:val="1"/>
              <w:numPr>
                <w:ilvl w:val="0"/>
                <w:numId w:val="1"/>
              </w:numPr>
              <w:spacing w:after="0" w:line="192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7744" w:rsidRPr="001E513D" w:rsidRDefault="001E513D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Course title in English</w:t>
            </w:r>
          </w:p>
        </w:tc>
        <w:tc>
          <w:tcPr>
            <w:tcW w:w="5894" w:type="dxa"/>
            <w:gridSpan w:val="3"/>
            <w:vAlign w:val="center"/>
          </w:tcPr>
          <w:p w:rsidR="007B7744" w:rsidRPr="00486CA6" w:rsidRDefault="00486CA6" w:rsidP="00486CA6">
            <w:pPr>
              <w:rPr>
                <w:lang w:val="en-US"/>
              </w:rPr>
            </w:pPr>
            <w:r w:rsidRPr="00486CA6">
              <w:rPr>
                <w:lang w:val="en-US"/>
              </w:rPr>
              <w:t>Global Inequalit</w:t>
            </w:r>
            <w:r>
              <w:rPr>
                <w:lang w:val="en-US"/>
              </w:rPr>
              <w:t>y</w:t>
            </w:r>
            <w:r w:rsidRPr="00486CA6">
              <w:rPr>
                <w:lang w:val="en-US"/>
              </w:rPr>
              <w:t xml:space="preserve"> and Economic Institutions in Historical Perspective</w:t>
            </w:r>
          </w:p>
        </w:tc>
      </w:tr>
      <w:tr w:rsidR="007B7744" w:rsidRPr="00FB6619" w:rsidTr="00E221DB">
        <w:trPr>
          <w:trHeight w:val="537"/>
        </w:trPr>
        <w:tc>
          <w:tcPr>
            <w:tcW w:w="851" w:type="dxa"/>
            <w:vAlign w:val="center"/>
          </w:tcPr>
          <w:p w:rsidR="007B7744" w:rsidRPr="00486CA6" w:rsidRDefault="007B7744" w:rsidP="00E221DB">
            <w:pPr>
              <w:pStyle w:val="1"/>
              <w:numPr>
                <w:ilvl w:val="0"/>
                <w:numId w:val="1"/>
              </w:numPr>
              <w:spacing w:after="0" w:line="192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7B7744" w:rsidRPr="001E513D" w:rsidRDefault="001E513D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Language</w:t>
            </w:r>
            <w:r w:rsidR="00562143">
              <w:rPr>
                <w:sz w:val="26"/>
                <w:szCs w:val="26"/>
                <w:lang w:val="en-US"/>
              </w:rPr>
              <w:t xml:space="preserve"> (choose from the list)</w:t>
            </w:r>
          </w:p>
        </w:tc>
        <w:tc>
          <w:tcPr>
            <w:tcW w:w="5894" w:type="dxa"/>
            <w:gridSpan w:val="3"/>
            <w:vAlign w:val="center"/>
          </w:tcPr>
          <w:p w:rsidR="001E513D" w:rsidRPr="001E513D" w:rsidRDefault="001E513D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English</w:t>
            </w:r>
          </w:p>
        </w:tc>
      </w:tr>
      <w:tr w:rsidR="007B7744" w:rsidRPr="00486CA6" w:rsidTr="00E221DB">
        <w:trPr>
          <w:trHeight w:val="537"/>
        </w:trPr>
        <w:tc>
          <w:tcPr>
            <w:tcW w:w="851" w:type="dxa"/>
            <w:vAlign w:val="center"/>
          </w:tcPr>
          <w:p w:rsidR="007B7744" w:rsidRPr="00FB6619" w:rsidRDefault="007B7744" w:rsidP="00E221DB">
            <w:pPr>
              <w:pStyle w:val="1"/>
              <w:numPr>
                <w:ilvl w:val="0"/>
                <w:numId w:val="1"/>
              </w:numPr>
              <w:spacing w:after="0" w:line="192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7744" w:rsidRPr="00562143" w:rsidRDefault="00562143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Course instructor (name, job position, link to a personal page at the website)</w:t>
            </w:r>
          </w:p>
        </w:tc>
        <w:tc>
          <w:tcPr>
            <w:tcW w:w="5894" w:type="dxa"/>
            <w:gridSpan w:val="3"/>
            <w:vAlign w:val="center"/>
          </w:tcPr>
          <w:p w:rsidR="000D5B37" w:rsidRDefault="00486CA6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Elena </w:t>
            </w:r>
            <w:proofErr w:type="spellStart"/>
            <w:r>
              <w:rPr>
                <w:sz w:val="26"/>
                <w:szCs w:val="26"/>
                <w:lang w:val="en-US"/>
              </w:rPr>
              <w:t>Kochetkova</w:t>
            </w:r>
            <w:proofErr w:type="spellEnd"/>
            <w:r>
              <w:rPr>
                <w:sz w:val="26"/>
                <w:szCs w:val="26"/>
                <w:lang w:val="en-US"/>
              </w:rPr>
              <w:t>, PhD, senior lecturer</w:t>
            </w:r>
          </w:p>
          <w:p w:rsidR="00486CA6" w:rsidRDefault="00486CA6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</w:p>
          <w:p w:rsidR="00486CA6" w:rsidRPr="00562143" w:rsidRDefault="000E4A58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hyperlink r:id="rId6" w:anchor="sci" w:history="1">
              <w:r w:rsidR="00486CA6" w:rsidRPr="00486CA6">
                <w:rPr>
                  <w:rStyle w:val="a6"/>
                  <w:lang w:val="en-US"/>
                </w:rPr>
                <w:t>https://www.hse.ru/en/org/persons/61253745#sci</w:t>
              </w:r>
            </w:hyperlink>
          </w:p>
        </w:tc>
      </w:tr>
      <w:tr w:rsidR="007B7744" w:rsidRPr="00486CA6" w:rsidTr="00E221DB">
        <w:trPr>
          <w:trHeight w:val="537"/>
        </w:trPr>
        <w:tc>
          <w:tcPr>
            <w:tcW w:w="851" w:type="dxa"/>
            <w:vAlign w:val="center"/>
          </w:tcPr>
          <w:p w:rsidR="007B7744" w:rsidRPr="00562143" w:rsidRDefault="007B7744" w:rsidP="00E221DB">
            <w:pPr>
              <w:pStyle w:val="1"/>
              <w:numPr>
                <w:ilvl w:val="0"/>
                <w:numId w:val="1"/>
              </w:numPr>
              <w:spacing w:after="0" w:line="192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7B7744" w:rsidRPr="00FB6619" w:rsidRDefault="00562143" w:rsidP="0056214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School/Department/Research Center</w:t>
            </w:r>
          </w:p>
        </w:tc>
        <w:tc>
          <w:tcPr>
            <w:tcW w:w="5894" w:type="dxa"/>
            <w:gridSpan w:val="3"/>
            <w:vAlign w:val="center"/>
          </w:tcPr>
          <w:p w:rsidR="007B7744" w:rsidRPr="00486CA6" w:rsidRDefault="00486CA6" w:rsidP="00486CA6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Department of history, St. Petersburg School of Arts and Humanities, HSE</w:t>
            </w:r>
          </w:p>
        </w:tc>
      </w:tr>
      <w:tr w:rsidR="007B7744" w:rsidRPr="00486CA6" w:rsidTr="00E221DB">
        <w:trPr>
          <w:trHeight w:val="537"/>
        </w:trPr>
        <w:tc>
          <w:tcPr>
            <w:tcW w:w="851" w:type="dxa"/>
            <w:vAlign w:val="center"/>
          </w:tcPr>
          <w:p w:rsidR="007B7744" w:rsidRPr="00486CA6" w:rsidRDefault="007B7744" w:rsidP="00E221DB">
            <w:pPr>
              <w:pStyle w:val="1"/>
              <w:numPr>
                <w:ilvl w:val="0"/>
                <w:numId w:val="1"/>
              </w:numPr>
              <w:spacing w:after="0" w:line="192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7B7744" w:rsidRPr="00562143" w:rsidRDefault="00562143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Module (choose from the list)</w:t>
            </w:r>
          </w:p>
        </w:tc>
        <w:tc>
          <w:tcPr>
            <w:tcW w:w="5894" w:type="dxa"/>
            <w:gridSpan w:val="3"/>
            <w:vAlign w:val="center"/>
          </w:tcPr>
          <w:p w:rsidR="00441FF3" w:rsidRPr="00486CA6" w:rsidRDefault="00441FF3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 w:rsidRPr="00486CA6">
              <w:rPr>
                <w:sz w:val="26"/>
                <w:szCs w:val="26"/>
                <w:lang w:val="en-US"/>
              </w:rPr>
              <w:t xml:space="preserve">4 </w:t>
            </w:r>
            <w:r>
              <w:rPr>
                <w:sz w:val="26"/>
                <w:szCs w:val="26"/>
              </w:rPr>
              <w:t>модуль</w:t>
            </w:r>
          </w:p>
        </w:tc>
      </w:tr>
      <w:tr w:rsidR="00776861" w:rsidRPr="00FB6619" w:rsidTr="00E221DB">
        <w:trPr>
          <w:trHeight w:val="460"/>
        </w:trPr>
        <w:tc>
          <w:tcPr>
            <w:tcW w:w="851" w:type="dxa"/>
            <w:vAlign w:val="center"/>
          </w:tcPr>
          <w:p w:rsidR="00776861" w:rsidRPr="00486CA6" w:rsidRDefault="00776861" w:rsidP="00E221DB">
            <w:pPr>
              <w:pStyle w:val="1"/>
              <w:numPr>
                <w:ilvl w:val="0"/>
                <w:numId w:val="1"/>
              </w:numPr>
              <w:spacing w:after="0" w:line="192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776861" w:rsidRPr="00486CA6" w:rsidRDefault="00562143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Amount of students (minimum 30)</w:t>
            </w:r>
          </w:p>
        </w:tc>
        <w:tc>
          <w:tcPr>
            <w:tcW w:w="1985" w:type="dxa"/>
            <w:vAlign w:val="center"/>
          </w:tcPr>
          <w:p w:rsidR="00776861" w:rsidRPr="00486CA6" w:rsidRDefault="00776861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Магистрантов</w:t>
            </w:r>
            <w:r w:rsidRPr="00486CA6">
              <w:rPr>
                <w:sz w:val="26"/>
                <w:szCs w:val="26"/>
                <w:lang w:val="en-US"/>
              </w:rPr>
              <w:t xml:space="preserve">  </w:t>
            </w:r>
          </w:p>
          <w:p w:rsidR="00D43EF7" w:rsidRDefault="00776861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НИУ</w:t>
            </w:r>
            <w:r w:rsidRPr="00486CA6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ВШЭ</w:t>
            </w:r>
            <w:r w:rsidR="00D43EF7" w:rsidRPr="00486CA6">
              <w:rPr>
                <w:sz w:val="26"/>
                <w:szCs w:val="26"/>
                <w:lang w:val="en-US"/>
              </w:rPr>
              <w:t>:</w:t>
            </w:r>
          </w:p>
          <w:p w:rsidR="00F05B5B" w:rsidRPr="00486CA6" w:rsidRDefault="00F05B5B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</w:p>
          <w:p w:rsidR="00776861" w:rsidRPr="00486CA6" w:rsidRDefault="00F05B5B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30-40</w:t>
            </w:r>
          </w:p>
        </w:tc>
        <w:tc>
          <w:tcPr>
            <w:tcW w:w="2550" w:type="dxa"/>
            <w:vAlign w:val="center"/>
          </w:tcPr>
          <w:p w:rsidR="00776861" w:rsidRDefault="00776861" w:rsidP="00441FF3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 w:rsidRPr="00FB6619">
              <w:rPr>
                <w:sz w:val="26"/>
                <w:szCs w:val="26"/>
              </w:rPr>
              <w:t>Групп</w:t>
            </w:r>
            <w:r w:rsidRPr="00486CA6">
              <w:rPr>
                <w:sz w:val="26"/>
                <w:szCs w:val="26"/>
                <w:lang w:val="en-US"/>
              </w:rPr>
              <w:t xml:space="preserve"> </w:t>
            </w:r>
            <w:r w:rsidRPr="00FB6619">
              <w:rPr>
                <w:sz w:val="26"/>
                <w:szCs w:val="26"/>
              </w:rPr>
              <w:t>для</w:t>
            </w:r>
            <w:r w:rsidRPr="00486CA6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семинаров/практических занятий</w:t>
            </w:r>
            <w:r w:rsidR="00D43EF7">
              <w:rPr>
                <w:sz w:val="26"/>
                <w:szCs w:val="26"/>
              </w:rPr>
              <w:t>:</w:t>
            </w:r>
          </w:p>
          <w:p w:rsidR="00F05B5B" w:rsidRPr="00F05B5B" w:rsidRDefault="00F05B5B" w:rsidP="00441FF3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</w:p>
          <w:p w:rsidR="00F05B5B" w:rsidRPr="00F05B5B" w:rsidRDefault="00F05B5B" w:rsidP="00441FF3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59" w:type="dxa"/>
            <w:vAlign w:val="center"/>
          </w:tcPr>
          <w:p w:rsidR="00776861" w:rsidRDefault="00776861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Потоков для лекций</w:t>
            </w:r>
            <w:r w:rsidR="00D43EF7">
              <w:rPr>
                <w:sz w:val="26"/>
                <w:szCs w:val="26"/>
              </w:rPr>
              <w:t>:</w:t>
            </w:r>
          </w:p>
          <w:p w:rsidR="00F05B5B" w:rsidRPr="00F05B5B" w:rsidRDefault="00F05B5B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</w:p>
          <w:p w:rsidR="00F05B5B" w:rsidRPr="00F05B5B" w:rsidRDefault="00F05B5B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  <w:p w:rsidR="00776861" w:rsidRPr="00FB6619" w:rsidRDefault="00776861" w:rsidP="00E221DB">
            <w:pPr>
              <w:spacing w:after="0" w:line="192" w:lineRule="auto"/>
              <w:rPr>
                <w:sz w:val="26"/>
                <w:szCs w:val="26"/>
              </w:rPr>
            </w:pPr>
          </w:p>
        </w:tc>
      </w:tr>
      <w:tr w:rsidR="007B7744" w:rsidRPr="000E777B" w:rsidTr="00E221DB">
        <w:trPr>
          <w:trHeight w:val="537"/>
        </w:trPr>
        <w:tc>
          <w:tcPr>
            <w:tcW w:w="851" w:type="dxa"/>
            <w:vAlign w:val="center"/>
          </w:tcPr>
          <w:p w:rsidR="007B7744" w:rsidRPr="000E777B" w:rsidRDefault="007B7744" w:rsidP="00E221DB">
            <w:pPr>
              <w:pStyle w:val="1"/>
              <w:numPr>
                <w:ilvl w:val="0"/>
                <w:numId w:val="1"/>
              </w:numPr>
              <w:spacing w:after="0" w:line="192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7744" w:rsidRPr="000E777B" w:rsidRDefault="00562143" w:rsidP="00E221DB">
            <w:pPr>
              <w:spacing w:after="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Course structure (leave unchanged)</w:t>
            </w:r>
          </w:p>
        </w:tc>
        <w:tc>
          <w:tcPr>
            <w:tcW w:w="5894" w:type="dxa"/>
            <w:gridSpan w:val="3"/>
            <w:vAlign w:val="center"/>
          </w:tcPr>
          <w:p w:rsidR="0059280B" w:rsidRDefault="0059280B" w:rsidP="00E221DB">
            <w:pPr>
              <w:spacing w:after="0" w:line="192" w:lineRule="auto"/>
              <w:rPr>
                <w:sz w:val="26"/>
                <w:szCs w:val="26"/>
              </w:rPr>
            </w:pPr>
            <w:r w:rsidRPr="0059280B">
              <w:rPr>
                <w:sz w:val="26"/>
                <w:szCs w:val="26"/>
              </w:rPr>
              <w:t>114</w:t>
            </w:r>
            <w:r>
              <w:rPr>
                <w:sz w:val="26"/>
                <w:szCs w:val="26"/>
              </w:rPr>
              <w:t xml:space="preserve"> часов (3 кредита), из них:</w:t>
            </w:r>
          </w:p>
          <w:p w:rsidR="007B7744" w:rsidRDefault="0059280B" w:rsidP="00E221DB">
            <w:pPr>
              <w:spacing w:after="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лекций, </w:t>
            </w:r>
            <w:r w:rsidRPr="0059280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семинаров, </w:t>
            </w:r>
            <w:r w:rsidR="0044057F">
              <w:rPr>
                <w:sz w:val="26"/>
                <w:szCs w:val="26"/>
              </w:rPr>
              <w:t>82</w:t>
            </w:r>
            <w:r>
              <w:rPr>
                <w:sz w:val="26"/>
                <w:szCs w:val="26"/>
              </w:rPr>
              <w:t xml:space="preserve"> самостоятельной работы</w:t>
            </w:r>
          </w:p>
          <w:p w:rsidR="00441FF3" w:rsidRPr="00F05B5B" w:rsidRDefault="00F05B5B" w:rsidP="00441FF3">
            <w:pPr>
              <w:spacing w:after="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контроль -</w:t>
            </w:r>
          </w:p>
          <w:p w:rsidR="0059280B" w:rsidRPr="000E777B" w:rsidRDefault="0059280B" w:rsidP="00441FF3">
            <w:pPr>
              <w:spacing w:after="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Итоговый контроль - </w:t>
            </w:r>
            <w:r w:rsidR="00441FF3">
              <w:rPr>
                <w:sz w:val="26"/>
                <w:szCs w:val="26"/>
              </w:rPr>
              <w:t>экзамен</w:t>
            </w:r>
          </w:p>
        </w:tc>
      </w:tr>
      <w:tr w:rsidR="007B7744" w:rsidRPr="00486CA6" w:rsidTr="00E221DB">
        <w:trPr>
          <w:trHeight w:val="537"/>
        </w:trPr>
        <w:tc>
          <w:tcPr>
            <w:tcW w:w="851" w:type="dxa"/>
            <w:vAlign w:val="center"/>
          </w:tcPr>
          <w:p w:rsidR="007B7744" w:rsidRPr="000E777B" w:rsidRDefault="007B7744" w:rsidP="00E221DB">
            <w:pPr>
              <w:pStyle w:val="1"/>
              <w:numPr>
                <w:ilvl w:val="0"/>
                <w:numId w:val="1"/>
              </w:numPr>
              <w:spacing w:after="0" w:line="192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7744" w:rsidRPr="00562143" w:rsidRDefault="00562143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The course is delivered (choose from the list)</w:t>
            </w:r>
          </w:p>
        </w:tc>
        <w:tc>
          <w:tcPr>
            <w:tcW w:w="5894" w:type="dxa"/>
            <w:gridSpan w:val="3"/>
            <w:vAlign w:val="center"/>
          </w:tcPr>
          <w:p w:rsidR="00441FF3" w:rsidRPr="00486CA6" w:rsidRDefault="00441FF3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 w:rsidRPr="00486CA6">
              <w:rPr>
                <w:sz w:val="26"/>
                <w:szCs w:val="26"/>
                <w:lang w:val="en-US"/>
              </w:rPr>
              <w:t xml:space="preserve">- </w:t>
            </w:r>
            <w:r w:rsidR="00562143">
              <w:rPr>
                <w:sz w:val="26"/>
                <w:szCs w:val="26"/>
                <w:lang w:val="en-US"/>
              </w:rPr>
              <w:t>the first time</w:t>
            </w:r>
          </w:p>
          <w:p w:rsidR="007B7744" w:rsidRPr="00562143" w:rsidRDefault="007B7744" w:rsidP="00562143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</w:p>
        </w:tc>
      </w:tr>
      <w:tr w:rsidR="007B7744" w:rsidRPr="00486CA6" w:rsidTr="00E221DB">
        <w:trPr>
          <w:trHeight w:val="537"/>
        </w:trPr>
        <w:tc>
          <w:tcPr>
            <w:tcW w:w="851" w:type="dxa"/>
            <w:vAlign w:val="center"/>
          </w:tcPr>
          <w:p w:rsidR="007B7744" w:rsidRPr="00562143" w:rsidRDefault="007B7744" w:rsidP="00E221DB">
            <w:pPr>
              <w:pStyle w:val="1"/>
              <w:numPr>
                <w:ilvl w:val="0"/>
                <w:numId w:val="1"/>
              </w:numPr>
              <w:spacing w:after="0" w:line="192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7B7744" w:rsidRPr="00562143" w:rsidRDefault="00562143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Number of students in previous years</w:t>
            </w:r>
          </w:p>
        </w:tc>
        <w:tc>
          <w:tcPr>
            <w:tcW w:w="5894" w:type="dxa"/>
            <w:gridSpan w:val="3"/>
            <w:vAlign w:val="center"/>
          </w:tcPr>
          <w:p w:rsidR="007B7744" w:rsidRPr="00562143" w:rsidRDefault="00F05B5B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750A0D" w:rsidRPr="00486CA6" w:rsidTr="00E221DB">
        <w:trPr>
          <w:trHeight w:val="537"/>
        </w:trPr>
        <w:tc>
          <w:tcPr>
            <w:tcW w:w="851" w:type="dxa"/>
            <w:vAlign w:val="center"/>
          </w:tcPr>
          <w:p w:rsidR="00750A0D" w:rsidRPr="00562143" w:rsidRDefault="00750A0D" w:rsidP="00E221DB">
            <w:pPr>
              <w:pStyle w:val="1"/>
              <w:numPr>
                <w:ilvl w:val="0"/>
                <w:numId w:val="1"/>
              </w:numPr>
              <w:spacing w:after="0" w:line="192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750A0D" w:rsidRPr="00562143" w:rsidRDefault="00562143" w:rsidP="00E221DB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Please reason for the necessity of including the course in the MAGOLEGO pool</w:t>
            </w:r>
          </w:p>
        </w:tc>
        <w:tc>
          <w:tcPr>
            <w:tcW w:w="5894" w:type="dxa"/>
            <w:gridSpan w:val="3"/>
            <w:vAlign w:val="center"/>
          </w:tcPr>
          <w:p w:rsidR="00750A0D" w:rsidRDefault="00DC0D48" w:rsidP="00441FF3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There are three reasons to include the course into the pool:</w:t>
            </w:r>
          </w:p>
          <w:p w:rsidR="00DC0D48" w:rsidRDefault="00DC0D48" w:rsidP="00A806F6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First, interdisciplinary and broad enough </w:t>
            </w:r>
            <w:r w:rsidR="00A806F6">
              <w:rPr>
                <w:sz w:val="26"/>
                <w:szCs w:val="26"/>
                <w:lang w:val="en-US"/>
              </w:rPr>
              <w:t xml:space="preserve">the course will be useful many </w:t>
            </w:r>
            <w:r>
              <w:rPr>
                <w:sz w:val="26"/>
                <w:szCs w:val="26"/>
                <w:lang w:val="en-US"/>
              </w:rPr>
              <w:t xml:space="preserve"> for students with different backgrounds and interests who want </w:t>
            </w:r>
            <w:r w:rsidR="00B47039">
              <w:rPr>
                <w:sz w:val="26"/>
                <w:szCs w:val="26"/>
                <w:lang w:val="en-US"/>
              </w:rPr>
              <w:t xml:space="preserve">to </w:t>
            </w:r>
            <w:r w:rsidR="002215BF">
              <w:rPr>
                <w:sz w:val="26"/>
                <w:szCs w:val="26"/>
                <w:lang w:val="en-US"/>
              </w:rPr>
              <w:t>l</w:t>
            </w:r>
            <w:r w:rsidR="00B47039">
              <w:rPr>
                <w:sz w:val="26"/>
                <w:szCs w:val="26"/>
                <w:lang w:val="en-US"/>
              </w:rPr>
              <w:t xml:space="preserve">earn about the origins of contemporary </w:t>
            </w:r>
            <w:r w:rsidR="00A806F6">
              <w:rPr>
                <w:sz w:val="26"/>
                <w:szCs w:val="26"/>
                <w:lang w:val="en-US"/>
              </w:rPr>
              <w:t xml:space="preserve">phenomenon of global inequality. The course will discuss topical methodologies of economic and social history with a particular focus on economic institutions engaging with technological and environmental history. </w:t>
            </w:r>
          </w:p>
          <w:p w:rsidR="00A806F6" w:rsidRDefault="00A806F6" w:rsidP="00A806F6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Second, the course will give a solid overview of classical and fresh literature discussing the role of economic institutions in human developments and their roles in making and overcoming global inequalities. I</w:t>
            </w:r>
            <w:r w:rsidR="002215BF">
              <w:rPr>
                <w:sz w:val="26"/>
                <w:szCs w:val="26"/>
                <w:lang w:val="en-US"/>
              </w:rPr>
              <w:t>t</w:t>
            </w:r>
            <w:r>
              <w:rPr>
                <w:sz w:val="26"/>
                <w:szCs w:val="26"/>
                <w:lang w:val="en-US"/>
              </w:rPr>
              <w:t xml:space="preserve"> will also provide the attendants with the basic knowledge of key events, names, and dates of global economic and technological history in the 17</w:t>
            </w:r>
            <w:r w:rsidRPr="00A806F6">
              <w:rPr>
                <w:sz w:val="26"/>
                <w:szCs w:val="26"/>
                <w:vertAlign w:val="superscript"/>
                <w:lang w:val="en-US"/>
              </w:rPr>
              <w:t>th</w:t>
            </w:r>
            <w:r>
              <w:rPr>
                <w:sz w:val="26"/>
                <w:szCs w:val="26"/>
                <w:lang w:val="en-US"/>
              </w:rPr>
              <w:t>-21</w:t>
            </w:r>
            <w:r w:rsidRPr="00A806F6">
              <w:rPr>
                <w:sz w:val="26"/>
                <w:szCs w:val="26"/>
                <w:vertAlign w:val="superscript"/>
                <w:lang w:val="en-US"/>
              </w:rPr>
              <w:t>st</w:t>
            </w:r>
            <w:r>
              <w:rPr>
                <w:sz w:val="26"/>
                <w:szCs w:val="26"/>
                <w:lang w:val="en-US"/>
              </w:rPr>
              <w:t xml:space="preserve"> century.</w:t>
            </w:r>
          </w:p>
          <w:p w:rsidR="00A806F6" w:rsidRPr="00562143" w:rsidRDefault="00A806F6" w:rsidP="00A806F6">
            <w:pPr>
              <w:spacing w:after="0" w:line="19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Last, combining various forms </w:t>
            </w:r>
            <w:r w:rsidR="002215BF">
              <w:rPr>
                <w:sz w:val="26"/>
                <w:szCs w:val="26"/>
                <w:lang w:val="en-US"/>
              </w:rPr>
              <w:t xml:space="preserve">of teaching and </w:t>
            </w:r>
            <w:r>
              <w:rPr>
                <w:sz w:val="26"/>
                <w:szCs w:val="26"/>
                <w:lang w:val="en-US"/>
              </w:rPr>
              <w:t xml:space="preserve">learning, such as brainstorming, analytical questions, group discussions, small oral presentation, and short essays, the course will boost analytical and research skills of the students. </w:t>
            </w:r>
          </w:p>
        </w:tc>
      </w:tr>
    </w:tbl>
    <w:p w:rsidR="00750A0D" w:rsidRPr="00562143" w:rsidRDefault="00750A0D" w:rsidP="00750A0D">
      <w:pPr>
        <w:spacing w:after="0" w:line="240" w:lineRule="auto"/>
        <w:rPr>
          <w:sz w:val="26"/>
          <w:szCs w:val="26"/>
          <w:lang w:val="en-US"/>
        </w:rPr>
      </w:pPr>
    </w:p>
    <w:p w:rsidR="00750A0D" w:rsidRPr="00562143" w:rsidRDefault="00750A0D" w:rsidP="00750A0D">
      <w:pPr>
        <w:spacing w:after="0" w:line="240" w:lineRule="auto"/>
        <w:rPr>
          <w:sz w:val="26"/>
          <w:szCs w:val="26"/>
          <w:lang w:val="en-US"/>
        </w:rPr>
      </w:pPr>
    </w:p>
    <w:p w:rsidR="007B7744" w:rsidRPr="00562143" w:rsidRDefault="00562143" w:rsidP="00E221DB">
      <w:pPr>
        <w:spacing w:after="0" w:line="240" w:lineRule="auto"/>
        <w:ind w:right="-2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head of the department/research center</w:t>
      </w:r>
      <w:r w:rsidR="00750A0D" w:rsidRPr="00562143">
        <w:rPr>
          <w:sz w:val="26"/>
          <w:szCs w:val="26"/>
          <w:lang w:val="en-US"/>
        </w:rPr>
        <w:t xml:space="preserve">                     ____________________</w:t>
      </w:r>
      <w:r w:rsidR="00E221DB" w:rsidRPr="00562143">
        <w:rPr>
          <w:sz w:val="26"/>
          <w:szCs w:val="26"/>
          <w:lang w:val="en-US"/>
        </w:rPr>
        <w:t>/</w:t>
      </w:r>
      <w:proofErr w:type="gramStart"/>
      <w:r w:rsidR="00E221DB" w:rsidRPr="00562143">
        <w:rPr>
          <w:sz w:val="26"/>
          <w:szCs w:val="26"/>
          <w:lang w:val="en-US"/>
        </w:rPr>
        <w:t>.</w:t>
      </w:r>
      <w:r w:rsidR="00750A0D" w:rsidRPr="00562143">
        <w:rPr>
          <w:sz w:val="26"/>
          <w:szCs w:val="26"/>
          <w:lang w:val="en-US"/>
        </w:rPr>
        <w:t>/</w:t>
      </w:r>
      <w:proofErr w:type="gramEnd"/>
    </w:p>
    <w:sectPr w:rsidR="007B7744" w:rsidRPr="00562143" w:rsidSect="008D1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012"/>
    <w:multiLevelType w:val="multilevel"/>
    <w:tmpl w:val="3676DD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5D878E9"/>
    <w:multiLevelType w:val="hybridMultilevel"/>
    <w:tmpl w:val="A8508E6E"/>
    <w:lvl w:ilvl="0" w:tplc="66AE9DD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9B7AB1"/>
    <w:multiLevelType w:val="hybridMultilevel"/>
    <w:tmpl w:val="7828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C46A80"/>
    <w:multiLevelType w:val="hybridMultilevel"/>
    <w:tmpl w:val="E2A4702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04"/>
    <w:rsid w:val="0000201B"/>
    <w:rsid w:val="00027B7F"/>
    <w:rsid w:val="00066521"/>
    <w:rsid w:val="00094887"/>
    <w:rsid w:val="000B7639"/>
    <w:rsid w:val="000D5B37"/>
    <w:rsid w:val="000E4A58"/>
    <w:rsid w:val="000E777B"/>
    <w:rsid w:val="000F227C"/>
    <w:rsid w:val="00107B58"/>
    <w:rsid w:val="00177CAB"/>
    <w:rsid w:val="00187CC1"/>
    <w:rsid w:val="001E513D"/>
    <w:rsid w:val="00212941"/>
    <w:rsid w:val="002215BF"/>
    <w:rsid w:val="00255A31"/>
    <w:rsid w:val="0026147F"/>
    <w:rsid w:val="00305CC5"/>
    <w:rsid w:val="00362332"/>
    <w:rsid w:val="00366560"/>
    <w:rsid w:val="003C4896"/>
    <w:rsid w:val="00407AAA"/>
    <w:rsid w:val="0044057F"/>
    <w:rsid w:val="00441FF3"/>
    <w:rsid w:val="00482AE9"/>
    <w:rsid w:val="00486CA6"/>
    <w:rsid w:val="004C106B"/>
    <w:rsid w:val="00537666"/>
    <w:rsid w:val="00562143"/>
    <w:rsid w:val="0059280B"/>
    <w:rsid w:val="005E5E3F"/>
    <w:rsid w:val="00607773"/>
    <w:rsid w:val="00683D2D"/>
    <w:rsid w:val="0069044E"/>
    <w:rsid w:val="006D0B22"/>
    <w:rsid w:val="00733370"/>
    <w:rsid w:val="0074000C"/>
    <w:rsid w:val="00750A0D"/>
    <w:rsid w:val="00776861"/>
    <w:rsid w:val="007B7744"/>
    <w:rsid w:val="007D2C85"/>
    <w:rsid w:val="00894148"/>
    <w:rsid w:val="008D1904"/>
    <w:rsid w:val="008F78D1"/>
    <w:rsid w:val="00927F86"/>
    <w:rsid w:val="00A73D1D"/>
    <w:rsid w:val="00A806F6"/>
    <w:rsid w:val="00B13E0F"/>
    <w:rsid w:val="00B47039"/>
    <w:rsid w:val="00BA655F"/>
    <w:rsid w:val="00BB7E54"/>
    <w:rsid w:val="00BF16DC"/>
    <w:rsid w:val="00C208B3"/>
    <w:rsid w:val="00C37B0E"/>
    <w:rsid w:val="00C644E4"/>
    <w:rsid w:val="00C724E7"/>
    <w:rsid w:val="00CE2905"/>
    <w:rsid w:val="00D43EF7"/>
    <w:rsid w:val="00DC0D48"/>
    <w:rsid w:val="00DD3243"/>
    <w:rsid w:val="00E14311"/>
    <w:rsid w:val="00E2129C"/>
    <w:rsid w:val="00E221DB"/>
    <w:rsid w:val="00E70EE9"/>
    <w:rsid w:val="00EF7749"/>
    <w:rsid w:val="00F05B5B"/>
    <w:rsid w:val="00F45373"/>
    <w:rsid w:val="00FB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6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0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0201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208B3"/>
    <w:pPr>
      <w:ind w:left="720"/>
      <w:contextualSpacing/>
    </w:pPr>
  </w:style>
  <w:style w:type="character" w:styleId="a6">
    <w:name w:val="Hyperlink"/>
    <w:rsid w:val="000D5B37"/>
    <w:rPr>
      <w:color w:val="0000FF"/>
      <w:u w:val="single"/>
    </w:rPr>
  </w:style>
  <w:style w:type="character" w:customStyle="1" w:styleId="in">
    <w:name w:val="__in"/>
    <w:basedOn w:val="a0"/>
    <w:rsid w:val="00486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6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0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0201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208B3"/>
    <w:pPr>
      <w:ind w:left="720"/>
      <w:contextualSpacing/>
    </w:pPr>
  </w:style>
  <w:style w:type="character" w:styleId="a6">
    <w:name w:val="Hyperlink"/>
    <w:rsid w:val="000D5B37"/>
    <w:rPr>
      <w:color w:val="0000FF"/>
      <w:u w:val="single"/>
    </w:rPr>
  </w:style>
  <w:style w:type="character" w:customStyle="1" w:styleId="in">
    <w:name w:val="__in"/>
    <w:basedOn w:val="a0"/>
    <w:rsid w:val="0048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en/org/persons/612537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Департамент/научное подразделение/кафедра ¬¬¬¬¬¬¬¬¬¬¬¬¬¬¬¬¬¬¬¬¬¬¬¬¬¬¬¬¬¬¬¬___________________________________</vt:lpstr>
    </vt:vector>
  </TitlesOfParts>
  <Company>HSE</Company>
  <LinksUpToDate>false</LinksUpToDate>
  <CharactersWithSpaces>2429</CharactersWithSpaces>
  <SharedDoc>false</SharedDoc>
  <HLinks>
    <vt:vector size="6" baseType="variant">
      <vt:variant>
        <vt:i4>4849683</vt:i4>
      </vt:variant>
      <vt:variant>
        <vt:i4>0</vt:i4>
      </vt:variant>
      <vt:variant>
        <vt:i4>0</vt:i4>
      </vt:variant>
      <vt:variant>
        <vt:i4>5</vt:i4>
      </vt:variant>
      <vt:variant>
        <vt:lpwstr>https://www.hse.ru/org/persons/133280284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Департамент/научное подразделение/кафедра ¬¬¬¬¬¬¬¬¬¬¬¬¬¬¬¬¬¬¬¬¬¬¬¬¬¬¬¬¬¬¬¬___________________________________</dc:title>
  <dc:creator>Игнатенко Светлана Васильевна</dc:creator>
  <cp:lastModifiedBy>Гальченко Валерия Александровна</cp:lastModifiedBy>
  <cp:revision>2</cp:revision>
  <dcterms:created xsi:type="dcterms:W3CDTF">2019-09-16T13:02:00Z</dcterms:created>
  <dcterms:modified xsi:type="dcterms:W3CDTF">2019-09-16T13:02:00Z</dcterms:modified>
</cp:coreProperties>
</file>