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14" w:rsidRPr="009545DA" w:rsidRDefault="009B0314" w:rsidP="009B0314">
      <w:pPr>
        <w:jc w:val="center"/>
        <w:rPr>
          <w:b/>
          <w:szCs w:val="24"/>
          <w:lang w:val="en-US"/>
        </w:rPr>
      </w:pPr>
      <w:r w:rsidRPr="009545DA">
        <w:rPr>
          <w:b/>
          <w:szCs w:val="24"/>
          <w:lang w:val="en-US"/>
        </w:rPr>
        <w:t>Course Syllabus</w:t>
      </w:r>
    </w:p>
    <w:p w:rsidR="009B0314" w:rsidRPr="009545DA" w:rsidRDefault="009B0314" w:rsidP="009B0314">
      <w:pPr>
        <w:jc w:val="center"/>
        <w:rPr>
          <w:szCs w:val="24"/>
          <w:lang w:val="en-US"/>
        </w:rPr>
      </w:pPr>
    </w:p>
    <w:tbl>
      <w:tblPr>
        <w:tblW w:w="1020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1"/>
        <w:gridCol w:w="2148"/>
        <w:gridCol w:w="268"/>
        <w:gridCol w:w="1436"/>
        <w:gridCol w:w="1116"/>
        <w:gridCol w:w="18"/>
        <w:gridCol w:w="1134"/>
        <w:gridCol w:w="1541"/>
      </w:tblGrid>
      <w:tr w:rsidR="009B0314" w:rsidRPr="00C42A27" w:rsidTr="00127250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Title of the course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633CB5" w:rsidP="00127250">
            <w:pPr>
              <w:ind w:firstLine="0"/>
              <w:rPr>
                <w:b/>
                <w:szCs w:val="24"/>
                <w:lang w:val="en-US"/>
              </w:rPr>
            </w:pPr>
            <w:bookmarkStart w:id="0" w:name="_GoBack"/>
            <w:r>
              <w:rPr>
                <w:b/>
                <w:szCs w:val="24"/>
                <w:lang w:val="en-US"/>
              </w:rPr>
              <w:t>Building a Strong Brand</w:t>
            </w:r>
            <w:bookmarkEnd w:id="0"/>
          </w:p>
        </w:tc>
      </w:tr>
      <w:tr w:rsidR="009B0314" w:rsidRPr="005270B7" w:rsidTr="00127250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Title of the Academic Programme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0314" w:rsidRPr="009545DA" w:rsidRDefault="00200ACC" w:rsidP="00C02669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All Master</w:t>
            </w:r>
            <w:r w:rsidR="00CE19BE">
              <w:rPr>
                <w:szCs w:val="24"/>
                <w:lang w:val="en-US"/>
              </w:rPr>
              <w:t xml:space="preserve"> </w:t>
            </w:r>
            <w:r w:rsidR="002B396C">
              <w:rPr>
                <w:szCs w:val="24"/>
                <w:lang w:val="en-US"/>
              </w:rPr>
              <w:t>Programme</w:t>
            </w:r>
            <w:r>
              <w:rPr>
                <w:szCs w:val="24"/>
                <w:lang w:val="en-US"/>
              </w:rPr>
              <w:t>s</w:t>
            </w:r>
          </w:p>
        </w:tc>
      </w:tr>
      <w:tr w:rsidR="009B0314" w:rsidRPr="006E2F0C" w:rsidTr="00127250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 xml:space="preserve">Type of the course 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0314" w:rsidRPr="009545DA" w:rsidRDefault="00C02669" w:rsidP="00127250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Elective</w:t>
            </w:r>
          </w:p>
        </w:tc>
      </w:tr>
      <w:tr w:rsidR="009B0314" w:rsidRPr="00C42A27" w:rsidTr="00127250">
        <w:trPr>
          <w:trHeight w:val="23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Prerequisites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-</w:t>
            </w:r>
          </w:p>
        </w:tc>
      </w:tr>
      <w:tr w:rsidR="009B0314" w:rsidRPr="00C42A27" w:rsidTr="00127250">
        <w:trPr>
          <w:trHeight w:val="230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ECTS workload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0D366E" w:rsidP="00127250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  <w:tr w:rsidR="009B0314" w:rsidTr="00127250">
        <w:trPr>
          <w:trHeight w:val="217"/>
        </w:trPr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Total indicative study hours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Directed Study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 xml:space="preserve">Self-directed study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Total</w:t>
            </w:r>
          </w:p>
        </w:tc>
      </w:tr>
      <w:tr w:rsidR="009B0314" w:rsidTr="00127250">
        <w:trPr>
          <w:trHeight w:val="216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0721F8" w:rsidP="00127250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14" w:rsidRPr="009545DA" w:rsidRDefault="000721F8" w:rsidP="00127250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  <w:r w:rsidR="00C02669">
              <w:rPr>
                <w:szCs w:val="24"/>
                <w:lang w:val="en-US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14" w:rsidRPr="001B0B66" w:rsidRDefault="00146BF5" w:rsidP="001B0B66">
            <w:pPr>
              <w:ind w:firstLine="0"/>
              <w:rPr>
                <w:szCs w:val="24"/>
              </w:rPr>
            </w:pPr>
            <w:r>
              <w:rPr>
                <w:szCs w:val="24"/>
                <w:lang w:val="en-US"/>
              </w:rPr>
              <w:t>108</w:t>
            </w:r>
          </w:p>
        </w:tc>
      </w:tr>
      <w:tr w:rsidR="009B0314" w:rsidRPr="00C02B45" w:rsidTr="00127250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Course Overview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5270B7" w:rsidP="00633CB5">
            <w:pPr>
              <w:ind w:firstLine="0"/>
              <w:jc w:val="both"/>
              <w:rPr>
                <w:szCs w:val="24"/>
                <w:lang w:val="en-US"/>
              </w:rPr>
            </w:pPr>
            <w:r w:rsidRPr="00844621">
              <w:rPr>
                <w:color w:val="000000"/>
                <w:shd w:val="clear" w:color="auto" w:fill="FFFFFF"/>
                <w:lang w:val="en-US"/>
              </w:rPr>
              <w:t xml:space="preserve">The discipline is focused on </w:t>
            </w:r>
            <w:r w:rsidR="00633CB5">
              <w:rPr>
                <w:color w:val="000000"/>
                <w:shd w:val="clear" w:color="auto" w:fill="FFFFFF"/>
                <w:lang w:val="en-US"/>
              </w:rPr>
              <w:t xml:space="preserve">brands as key intangible assets of company. </w:t>
            </w:r>
            <w:r w:rsidRPr="00844621">
              <w:rPr>
                <w:color w:val="000000"/>
                <w:shd w:val="clear" w:color="auto" w:fill="FFFFFF"/>
                <w:lang w:val="en-US"/>
              </w:rPr>
              <w:t xml:space="preserve">Students will gain knowledge on </w:t>
            </w:r>
            <w:r w:rsidR="00633CB5">
              <w:rPr>
                <w:color w:val="000000"/>
                <w:shd w:val="clear" w:color="auto" w:fill="FFFFFF"/>
                <w:lang w:val="en-US"/>
              </w:rPr>
              <w:t>different aspects of brand, brand valuation and brand strategies. The goal of the course if to provide students with competencies that are necessary to create and use a strong brand</w:t>
            </w:r>
            <w:r w:rsidRPr="00844621">
              <w:rPr>
                <w:color w:val="000000"/>
                <w:shd w:val="clear" w:color="auto" w:fill="FFFFFF"/>
                <w:lang w:val="en-US"/>
              </w:rPr>
              <w:t>.</w:t>
            </w:r>
          </w:p>
        </w:tc>
      </w:tr>
      <w:tr w:rsidR="009B0314" w:rsidRPr="00C02B45" w:rsidTr="00127250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Intended Learning Outcomes (ILO)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B5" w:rsidRPr="00764BB9" w:rsidRDefault="00633CB5" w:rsidP="00633CB5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764BB9">
              <w:rPr>
                <w:sz w:val="22"/>
                <w:szCs w:val="22"/>
                <w:lang w:val="en-US"/>
              </w:rPr>
              <w:t xml:space="preserve">Know key notions of </w:t>
            </w:r>
            <w:r>
              <w:rPr>
                <w:sz w:val="22"/>
                <w:szCs w:val="22"/>
                <w:lang w:val="en-US"/>
              </w:rPr>
              <w:t>new branding</w:t>
            </w:r>
            <w:r w:rsidRPr="00764BB9">
              <w:rPr>
                <w:sz w:val="22"/>
                <w:szCs w:val="22"/>
                <w:lang w:val="en-US"/>
              </w:rPr>
              <w:t xml:space="preserve">. </w:t>
            </w:r>
          </w:p>
          <w:p w:rsidR="00633CB5" w:rsidRPr="00764BB9" w:rsidRDefault="00633CB5" w:rsidP="00633CB5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764BB9">
              <w:rPr>
                <w:sz w:val="22"/>
                <w:szCs w:val="22"/>
                <w:lang w:val="en-US"/>
              </w:rPr>
              <w:t>Understand the principles of implementation</w:t>
            </w:r>
            <w:r>
              <w:rPr>
                <w:sz w:val="22"/>
                <w:szCs w:val="22"/>
                <w:lang w:val="en-US"/>
              </w:rPr>
              <w:t xml:space="preserve"> of brand strategies.</w:t>
            </w:r>
            <w:r w:rsidRPr="00764BB9">
              <w:rPr>
                <w:sz w:val="22"/>
                <w:szCs w:val="22"/>
                <w:lang w:val="en-US"/>
              </w:rPr>
              <w:t>.</w:t>
            </w:r>
          </w:p>
          <w:p w:rsidR="00633CB5" w:rsidRPr="00764BB9" w:rsidRDefault="00633CB5" w:rsidP="00633CB5">
            <w:pPr>
              <w:ind w:firstLine="0"/>
              <w:jc w:val="both"/>
              <w:rPr>
                <w:lang w:val="en-US"/>
              </w:rPr>
            </w:pPr>
            <w:r w:rsidRPr="00764BB9">
              <w:rPr>
                <w:lang w:val="en-US"/>
              </w:rPr>
              <w:t xml:space="preserve">Able to evaluate </w:t>
            </w:r>
            <w:r>
              <w:rPr>
                <w:lang w:val="en-US"/>
              </w:rPr>
              <w:t>brand efficiency</w:t>
            </w:r>
            <w:r w:rsidRPr="00764BB9">
              <w:rPr>
                <w:lang w:val="en-US"/>
              </w:rPr>
              <w:t>.</w:t>
            </w:r>
          </w:p>
          <w:p w:rsidR="009B0314" w:rsidRPr="009545DA" w:rsidRDefault="00633CB5" w:rsidP="00633CB5">
            <w:pPr>
              <w:ind w:firstLine="0"/>
              <w:jc w:val="both"/>
              <w:rPr>
                <w:szCs w:val="24"/>
                <w:lang w:val="en-US"/>
              </w:rPr>
            </w:pPr>
            <w:r>
              <w:rPr>
                <w:lang w:val="en-US"/>
              </w:rPr>
              <w:t>Identify potential risks for brands</w:t>
            </w:r>
          </w:p>
        </w:tc>
      </w:tr>
      <w:tr w:rsidR="009B0314" w:rsidRPr="00CA159C" w:rsidTr="00127250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Teaching and Learning Methods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5270B7" w:rsidP="00C84479">
            <w:pPr>
              <w:ind w:firstLine="0"/>
              <w:jc w:val="both"/>
              <w:rPr>
                <w:szCs w:val="24"/>
                <w:lang w:val="en-US"/>
              </w:rPr>
            </w:pPr>
            <w:r w:rsidRPr="00885B79">
              <w:rPr>
                <w:lang w:val="en-US"/>
              </w:rPr>
              <w:t>The course consists of lectures (1</w:t>
            </w:r>
            <w:r>
              <w:rPr>
                <w:lang w:val="en-US"/>
              </w:rPr>
              <w:t>2</w:t>
            </w:r>
            <w:r w:rsidRPr="00885B79">
              <w:rPr>
                <w:lang w:val="en-US"/>
              </w:rPr>
              <w:t xml:space="preserve"> hours) and </w:t>
            </w:r>
            <w:r>
              <w:rPr>
                <w:lang w:val="en-US"/>
              </w:rPr>
              <w:t>tutorials (20</w:t>
            </w:r>
            <w:r w:rsidRPr="00885B79">
              <w:rPr>
                <w:lang w:val="en-US"/>
              </w:rPr>
              <w:t xml:space="preserve"> hours). The </w:t>
            </w:r>
            <w:r>
              <w:rPr>
                <w:lang w:val="en-US"/>
              </w:rPr>
              <w:t>tutorial</w:t>
            </w:r>
            <w:r w:rsidRPr="00885B79">
              <w:rPr>
                <w:lang w:val="en-US"/>
              </w:rPr>
              <w:t>s involve student presentations (in small groups), problems solving, case analysis and the individual assignment (project).</w:t>
            </w:r>
          </w:p>
        </w:tc>
      </w:tr>
      <w:tr w:rsidR="009B0314" w:rsidRPr="00CA159C" w:rsidTr="00127250"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Content and Structure of the Course</w:t>
            </w:r>
          </w:p>
        </w:tc>
      </w:tr>
      <w:tr w:rsidR="009B0314" w:rsidRPr="00BC635A" w:rsidTr="00127250">
        <w:trPr>
          <w:trHeight w:val="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b/>
                <w:szCs w:val="24"/>
                <w:lang w:val="en-US"/>
              </w:rPr>
            </w:pPr>
            <w:r w:rsidRPr="00BC635A">
              <w:rPr>
                <w:b/>
                <w:lang w:val="en-US"/>
              </w:rPr>
              <w:t>№</w:t>
            </w:r>
          </w:p>
        </w:tc>
        <w:tc>
          <w:tcPr>
            <w:tcW w:w="4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9B0314" w:rsidRPr="009545DA" w:rsidRDefault="009B0314" w:rsidP="00127250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9545DA">
              <w:rPr>
                <w:b/>
                <w:lang w:val="en-US"/>
              </w:rPr>
              <w:t>Topic / Course Chapter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9B0314" w:rsidRPr="009545DA" w:rsidRDefault="009B0314" w:rsidP="00127250">
            <w:pPr>
              <w:ind w:firstLine="0"/>
              <w:jc w:val="center"/>
              <w:rPr>
                <w:b/>
                <w:lang w:val="en-US"/>
              </w:rPr>
            </w:pPr>
            <w:r w:rsidRPr="009545DA">
              <w:rPr>
                <w:b/>
                <w:lang w:val="en-US"/>
              </w:rPr>
              <w:t>Total</w:t>
            </w:r>
          </w:p>
          <w:p w:rsidR="009B0314" w:rsidRPr="009545DA" w:rsidRDefault="009B0314" w:rsidP="00127250">
            <w:pPr>
              <w:ind w:firstLine="0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B0314" w:rsidRPr="009545DA" w:rsidRDefault="009B0314" w:rsidP="00127250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9545DA">
              <w:rPr>
                <w:b/>
                <w:lang w:val="en-US"/>
              </w:rPr>
              <w:t>Directed Study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9B0314" w:rsidRPr="009545DA" w:rsidRDefault="009B0314" w:rsidP="00127250">
            <w:pPr>
              <w:ind w:firstLine="0"/>
              <w:jc w:val="center"/>
              <w:rPr>
                <w:b/>
                <w:szCs w:val="24"/>
                <w:lang w:val="en-US"/>
              </w:rPr>
            </w:pPr>
            <w:r w:rsidRPr="009545DA">
              <w:rPr>
                <w:b/>
                <w:lang w:val="en-US"/>
              </w:rPr>
              <w:t>Self-directed Study</w:t>
            </w:r>
          </w:p>
        </w:tc>
      </w:tr>
      <w:tr w:rsidR="009B0314" w:rsidRPr="006E2F0C" w:rsidTr="00127250">
        <w:trPr>
          <w:trHeight w:val="4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4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B0314" w:rsidRPr="009545DA" w:rsidRDefault="009B0314" w:rsidP="00127250">
            <w:pPr>
              <w:ind w:firstLine="0"/>
              <w:rPr>
                <w:b/>
                <w:szCs w:val="24"/>
                <w:lang w:val="en-US"/>
              </w:rPr>
            </w:pPr>
            <w:r w:rsidRPr="009545DA">
              <w:rPr>
                <w:b/>
                <w:lang w:val="en-US"/>
              </w:rPr>
              <w:t>Lectures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B0314" w:rsidRPr="009545DA" w:rsidRDefault="009B0314" w:rsidP="00127250">
            <w:pPr>
              <w:ind w:firstLine="0"/>
              <w:rPr>
                <w:b/>
                <w:szCs w:val="24"/>
                <w:lang w:val="en-US"/>
              </w:rPr>
            </w:pPr>
            <w:r w:rsidRPr="009545DA">
              <w:rPr>
                <w:b/>
                <w:lang w:val="en-US"/>
              </w:rPr>
              <w:t>Tutorials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</w:p>
        </w:tc>
      </w:tr>
      <w:tr w:rsidR="009B0314" w:rsidRPr="0051288C" w:rsidTr="00127250">
        <w:trPr>
          <w:trHeight w:val="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1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33CB5" w:rsidRDefault="00633CB5" w:rsidP="00656740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</w:t>
            </w:r>
            <w:r w:rsidR="00EB36C4">
              <w:rPr>
                <w:szCs w:val="24"/>
                <w:lang w:val="en-US"/>
              </w:rPr>
              <w:t>: Basic notions</w:t>
            </w:r>
          </w:p>
          <w:p w:rsidR="00CE19BE" w:rsidRDefault="00EB36C4" w:rsidP="00CE19BE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Nature of brand</w:t>
            </w:r>
          </w:p>
          <w:p w:rsidR="00584713" w:rsidRDefault="00584713" w:rsidP="00CE19BE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 w:rsidRPr="00584713">
              <w:rPr>
                <w:szCs w:val="24"/>
                <w:lang w:val="en-US"/>
              </w:rPr>
              <w:t xml:space="preserve">Evolution of </w:t>
            </w:r>
            <w:r w:rsidR="00EB36C4">
              <w:rPr>
                <w:szCs w:val="24"/>
                <w:lang w:val="en-US"/>
              </w:rPr>
              <w:t>brand</w:t>
            </w:r>
          </w:p>
          <w:p w:rsidR="00584713" w:rsidRDefault="00EB36C4" w:rsidP="00CE19BE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Main aspects of brand</w:t>
            </w:r>
          </w:p>
          <w:p w:rsidR="00584713" w:rsidRDefault="00EB36C4" w:rsidP="00EB36C4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Brands and trade marks</w:t>
            </w:r>
          </w:p>
          <w:p w:rsidR="00941326" w:rsidRPr="00EB36C4" w:rsidRDefault="00941326" w:rsidP="00EB36C4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Types of brands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F067E6" w:rsidRDefault="009B0314" w:rsidP="00956C33">
            <w:pPr>
              <w:ind w:firstLine="0"/>
              <w:rPr>
                <w:szCs w:val="24"/>
              </w:rPr>
            </w:pPr>
            <w:r w:rsidRPr="00656740">
              <w:rPr>
                <w:szCs w:val="24"/>
              </w:rPr>
              <w:t>1</w:t>
            </w:r>
            <w:r w:rsidR="00956C33">
              <w:rPr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656740" w:rsidP="00127250">
            <w:pPr>
              <w:ind w:firstLine="0"/>
              <w:rPr>
                <w:szCs w:val="24"/>
                <w:lang w:val="en-US"/>
              </w:rPr>
            </w:pPr>
            <w:r w:rsidRPr="00656740">
              <w:rPr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9B0314" w:rsidP="00127250">
            <w:pPr>
              <w:ind w:firstLine="0"/>
              <w:rPr>
                <w:szCs w:val="24"/>
              </w:rPr>
            </w:pPr>
            <w:r w:rsidRPr="00656740">
              <w:rPr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F067E6" w:rsidRDefault="009B0314" w:rsidP="00956C33">
            <w:pPr>
              <w:ind w:firstLine="0"/>
              <w:rPr>
                <w:szCs w:val="24"/>
              </w:rPr>
            </w:pPr>
            <w:r w:rsidRPr="00656740">
              <w:rPr>
                <w:szCs w:val="24"/>
              </w:rPr>
              <w:t>1</w:t>
            </w:r>
            <w:r w:rsidR="00956C33">
              <w:rPr>
                <w:szCs w:val="24"/>
              </w:rPr>
              <w:t>3</w:t>
            </w:r>
          </w:p>
        </w:tc>
      </w:tr>
      <w:tr w:rsidR="009B0314" w:rsidRPr="00306F92" w:rsidTr="00127250">
        <w:trPr>
          <w:trHeight w:val="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2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Default="0076041B" w:rsidP="00656740">
            <w:pPr>
              <w:ind w:left="35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 creation</w:t>
            </w:r>
          </w:p>
          <w:p w:rsidR="00584713" w:rsidRDefault="0076041B" w:rsidP="00584713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Positioning and repositioning</w:t>
            </w:r>
          </w:p>
          <w:p w:rsidR="00584713" w:rsidRDefault="0076041B" w:rsidP="00584713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 attributes</w:t>
            </w:r>
          </w:p>
          <w:p w:rsidR="00584713" w:rsidRDefault="0076041B" w:rsidP="0076041B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 identity</w:t>
            </w:r>
          </w:p>
          <w:p w:rsidR="00941326" w:rsidRPr="0076041B" w:rsidRDefault="00941326" w:rsidP="0076041B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 communications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F067E6" w:rsidRDefault="009B0314" w:rsidP="00956C33">
            <w:pPr>
              <w:ind w:firstLine="0"/>
              <w:rPr>
                <w:szCs w:val="24"/>
              </w:rPr>
            </w:pPr>
            <w:r w:rsidRPr="00656740">
              <w:rPr>
                <w:szCs w:val="24"/>
              </w:rPr>
              <w:t>1</w:t>
            </w:r>
            <w:r w:rsidR="00956C33">
              <w:rPr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656740" w:rsidP="00127250">
            <w:pPr>
              <w:ind w:firstLine="0"/>
              <w:rPr>
                <w:szCs w:val="24"/>
                <w:lang w:val="en-US"/>
              </w:rPr>
            </w:pPr>
            <w:r w:rsidRPr="00656740">
              <w:rPr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9B0314" w:rsidP="00127250">
            <w:pPr>
              <w:ind w:firstLine="0"/>
              <w:rPr>
                <w:szCs w:val="24"/>
              </w:rPr>
            </w:pPr>
            <w:r w:rsidRPr="00656740">
              <w:rPr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F067E6" w:rsidRDefault="009B0314" w:rsidP="00956C33">
            <w:pPr>
              <w:ind w:firstLine="0"/>
              <w:rPr>
                <w:szCs w:val="24"/>
              </w:rPr>
            </w:pPr>
            <w:r w:rsidRPr="00656740">
              <w:rPr>
                <w:szCs w:val="24"/>
              </w:rPr>
              <w:t>1</w:t>
            </w:r>
            <w:r w:rsidR="00956C33">
              <w:rPr>
                <w:szCs w:val="24"/>
              </w:rPr>
              <w:t>3</w:t>
            </w:r>
          </w:p>
        </w:tc>
      </w:tr>
      <w:tr w:rsidR="009B0314" w:rsidRPr="00FE15B2" w:rsidTr="00127250">
        <w:trPr>
          <w:trHeight w:val="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3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Default="0076041B" w:rsidP="00127250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 capital</w:t>
            </w:r>
          </w:p>
          <w:p w:rsidR="00584713" w:rsidRDefault="0076041B" w:rsidP="00584713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Factors of brand capital</w:t>
            </w:r>
          </w:p>
          <w:p w:rsidR="00584713" w:rsidRDefault="0076041B" w:rsidP="00584713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Value proposition of different markets</w:t>
            </w:r>
          </w:p>
          <w:p w:rsidR="0076041B" w:rsidRPr="009545DA" w:rsidRDefault="0076041B" w:rsidP="00584713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 loyalty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F067E6" w:rsidRDefault="00956C33" w:rsidP="00F067E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656740" w:rsidP="00127250">
            <w:pPr>
              <w:ind w:firstLine="0"/>
              <w:rPr>
                <w:szCs w:val="24"/>
                <w:lang w:val="en-US"/>
              </w:rPr>
            </w:pPr>
            <w:r w:rsidRPr="00656740">
              <w:rPr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F067E6" w:rsidP="0012725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F067E6" w:rsidRDefault="009B0314" w:rsidP="00956C33">
            <w:pPr>
              <w:ind w:firstLine="0"/>
              <w:rPr>
                <w:szCs w:val="24"/>
              </w:rPr>
            </w:pPr>
            <w:r w:rsidRPr="00656740">
              <w:rPr>
                <w:szCs w:val="24"/>
              </w:rPr>
              <w:t>1</w:t>
            </w:r>
            <w:r w:rsidR="00956C33">
              <w:rPr>
                <w:szCs w:val="24"/>
              </w:rPr>
              <w:t>4</w:t>
            </w:r>
          </w:p>
        </w:tc>
      </w:tr>
      <w:tr w:rsidR="009B0314" w:rsidRPr="00FE15B2" w:rsidTr="00127250">
        <w:trPr>
          <w:trHeight w:val="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4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Default="00941326" w:rsidP="00127250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Evaluation of brands</w:t>
            </w:r>
          </w:p>
          <w:p w:rsidR="00941326" w:rsidRPr="00941326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Factors of brand value</w:t>
            </w:r>
          </w:p>
          <w:p w:rsidR="00584713" w:rsidRDefault="00941326" w:rsidP="00584713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 valuation</w:t>
            </w:r>
          </w:p>
          <w:p w:rsidR="00584713" w:rsidRPr="009545DA" w:rsidRDefault="00941326" w:rsidP="00584713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Interbrand model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956C33" w:rsidRDefault="00956C33" w:rsidP="00F067E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656740" w:rsidP="00127250">
            <w:pPr>
              <w:ind w:firstLine="0"/>
              <w:rPr>
                <w:szCs w:val="24"/>
                <w:lang w:val="en-US"/>
              </w:rPr>
            </w:pPr>
            <w:r w:rsidRPr="00656740">
              <w:rPr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F067E6" w:rsidRDefault="00F067E6" w:rsidP="0012725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F067E6" w:rsidRDefault="009B0314" w:rsidP="00956C33">
            <w:pPr>
              <w:ind w:firstLine="0"/>
              <w:rPr>
                <w:szCs w:val="24"/>
              </w:rPr>
            </w:pPr>
            <w:r w:rsidRPr="00656740">
              <w:rPr>
                <w:szCs w:val="24"/>
              </w:rPr>
              <w:t>1</w:t>
            </w:r>
            <w:r w:rsidR="00956C33">
              <w:rPr>
                <w:szCs w:val="24"/>
              </w:rPr>
              <w:t>4</w:t>
            </w:r>
          </w:p>
        </w:tc>
      </w:tr>
      <w:tr w:rsidR="009B0314" w:rsidRPr="004C2DF4" w:rsidTr="00127250">
        <w:trPr>
          <w:trHeight w:val="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5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26" w:rsidRDefault="00941326" w:rsidP="00941326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 portfolio</w:t>
            </w:r>
          </w:p>
          <w:p w:rsidR="00941326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Hierarchy of brands</w:t>
            </w:r>
          </w:p>
          <w:p w:rsidR="00941326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Brand architecture</w:t>
            </w:r>
          </w:p>
          <w:p w:rsidR="00D71F39" w:rsidRPr="00D71F39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Interaction of brands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F067E6" w:rsidRDefault="00F067E6" w:rsidP="0012725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656740" w:rsidP="00127250">
            <w:pPr>
              <w:ind w:firstLine="0"/>
              <w:rPr>
                <w:szCs w:val="24"/>
                <w:lang w:val="en-US"/>
              </w:rPr>
            </w:pPr>
            <w:r w:rsidRPr="00656740">
              <w:rPr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656740" w:rsidP="00127250">
            <w:pPr>
              <w:ind w:firstLine="0"/>
              <w:rPr>
                <w:szCs w:val="24"/>
                <w:lang w:val="en-US"/>
              </w:rPr>
            </w:pPr>
            <w:r w:rsidRPr="00656740">
              <w:rPr>
                <w:szCs w:val="24"/>
                <w:lang w:val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F067E6" w:rsidRDefault="009B0314" w:rsidP="00F067E6">
            <w:pPr>
              <w:ind w:firstLine="0"/>
              <w:rPr>
                <w:szCs w:val="24"/>
              </w:rPr>
            </w:pPr>
            <w:r w:rsidRPr="00656740">
              <w:rPr>
                <w:szCs w:val="24"/>
              </w:rPr>
              <w:t>1</w:t>
            </w:r>
            <w:r w:rsidR="00F067E6">
              <w:rPr>
                <w:szCs w:val="24"/>
              </w:rPr>
              <w:t>4</w:t>
            </w:r>
          </w:p>
        </w:tc>
      </w:tr>
      <w:tr w:rsidR="009B0314" w:rsidRPr="004C2DF4" w:rsidTr="00127250">
        <w:trPr>
          <w:trHeight w:val="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26" w:rsidRDefault="00941326" w:rsidP="00941326">
            <w:pPr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 strategies</w:t>
            </w:r>
          </w:p>
          <w:p w:rsidR="00941326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 life cycle</w:t>
            </w:r>
          </w:p>
          <w:p w:rsidR="00941326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Brand extension</w:t>
            </w:r>
          </w:p>
          <w:p w:rsidR="00DB4F99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Umbrella brands</w:t>
            </w:r>
          </w:p>
          <w:p w:rsidR="00941326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Cannibalization of brands</w:t>
            </w:r>
          </w:p>
          <w:p w:rsidR="00941326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Rebranding</w:t>
            </w:r>
          </w:p>
          <w:p w:rsidR="00941326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Co-branding</w:t>
            </w:r>
          </w:p>
          <w:p w:rsidR="00941326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Franchising and licensing</w:t>
            </w:r>
          </w:p>
          <w:p w:rsidR="00941326" w:rsidRPr="00941326" w:rsidRDefault="00941326" w:rsidP="00941326">
            <w:pPr>
              <w:numPr>
                <w:ilvl w:val="0"/>
                <w:numId w:val="19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Liquidation of brands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656740" w:rsidP="00127250">
            <w:pPr>
              <w:ind w:firstLine="0"/>
              <w:rPr>
                <w:szCs w:val="24"/>
                <w:lang w:val="en-US"/>
              </w:rPr>
            </w:pPr>
            <w:r w:rsidRPr="00656740">
              <w:rPr>
                <w:szCs w:val="24"/>
                <w:lang w:val="en-US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656740" w:rsidP="00127250">
            <w:pPr>
              <w:ind w:firstLine="0"/>
              <w:rPr>
                <w:szCs w:val="24"/>
                <w:lang w:val="en-US"/>
              </w:rPr>
            </w:pPr>
            <w:r w:rsidRPr="00656740">
              <w:rPr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656740" w:rsidP="00127250">
            <w:pPr>
              <w:ind w:firstLine="0"/>
              <w:rPr>
                <w:szCs w:val="24"/>
                <w:lang w:val="en-US"/>
              </w:rPr>
            </w:pPr>
            <w:r w:rsidRPr="00656740">
              <w:rPr>
                <w:szCs w:val="24"/>
                <w:lang w:val="en-US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14" w:rsidRPr="00656740" w:rsidRDefault="009B0314" w:rsidP="00656740">
            <w:pPr>
              <w:ind w:firstLine="0"/>
              <w:rPr>
                <w:szCs w:val="24"/>
                <w:lang w:val="en-US"/>
              </w:rPr>
            </w:pPr>
            <w:r w:rsidRPr="00656740">
              <w:rPr>
                <w:szCs w:val="24"/>
              </w:rPr>
              <w:t>1</w:t>
            </w:r>
            <w:r w:rsidR="00656740" w:rsidRPr="00656740">
              <w:rPr>
                <w:szCs w:val="24"/>
                <w:lang w:val="en-US"/>
              </w:rPr>
              <w:t>4</w:t>
            </w:r>
          </w:p>
        </w:tc>
      </w:tr>
      <w:tr w:rsidR="009B0314" w:rsidRPr="006E2F0C" w:rsidTr="00127250">
        <w:trPr>
          <w:trHeight w:val="45"/>
        </w:trPr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b/>
                <w:szCs w:val="24"/>
                <w:lang w:val="en-US"/>
              </w:rPr>
            </w:pPr>
            <w:r w:rsidRPr="009545DA">
              <w:rPr>
                <w:b/>
                <w:lang w:val="en-US"/>
              </w:rPr>
              <w:t>Total study hours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B0314" w:rsidRPr="00656740" w:rsidRDefault="00F067E6" w:rsidP="00956C3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56C33">
              <w:rPr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B0314" w:rsidRPr="00F067E6" w:rsidRDefault="00F067E6" w:rsidP="0012725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B0314" w:rsidRPr="00F067E6" w:rsidRDefault="00F067E6" w:rsidP="0012725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9B0314" w:rsidRPr="00F067E6" w:rsidRDefault="00956C33" w:rsidP="00F067E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</w:tr>
      <w:tr w:rsidR="009B0314" w:rsidRPr="00CA159C" w:rsidTr="00127250">
        <w:trPr>
          <w:trHeight w:val="552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 xml:space="preserve">Indicative Assessment Methods and Strategy 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70B7" w:rsidRPr="00885B79" w:rsidRDefault="005270B7" w:rsidP="00C84479">
            <w:pPr>
              <w:pStyle w:val="a8"/>
              <w:ind w:firstLine="0"/>
              <w:jc w:val="both"/>
              <w:rPr>
                <w:lang w:val="en-US" w:eastAsia="en-GB"/>
              </w:rPr>
            </w:pPr>
            <w:r w:rsidRPr="00885B79">
              <w:rPr>
                <w:lang w:val="en-US" w:eastAsia="en-GB"/>
              </w:rPr>
              <w:t xml:space="preserve">Students’ progress will be measured by students’ activities in </w:t>
            </w:r>
            <w:r>
              <w:rPr>
                <w:lang w:val="en-US" w:eastAsia="en-GB"/>
              </w:rPr>
              <w:t>making team’s</w:t>
            </w:r>
            <w:r w:rsidRPr="00885B79">
              <w:rPr>
                <w:lang w:val="en-US" w:eastAsia="en-GB"/>
              </w:rPr>
              <w:t xml:space="preserve"> project (</w:t>
            </w:r>
            <w:r>
              <w:rPr>
                <w:lang w:val="en-US" w:eastAsia="en-GB"/>
              </w:rPr>
              <w:t>5</w:t>
            </w:r>
            <w:r w:rsidRPr="00885B79">
              <w:rPr>
                <w:lang w:val="en-US" w:eastAsia="en-GB"/>
              </w:rPr>
              <w:t>0%) and a final exam.</w:t>
            </w:r>
          </w:p>
          <w:p w:rsidR="009B0314" w:rsidRDefault="005270B7" w:rsidP="00C84479">
            <w:pPr>
              <w:ind w:firstLine="0"/>
              <w:jc w:val="both"/>
              <w:rPr>
                <w:szCs w:val="24"/>
                <w:lang w:val="en-US"/>
              </w:rPr>
            </w:pPr>
            <w:r w:rsidRPr="00933DDE">
              <w:rPr>
                <w:lang w:val="en-US"/>
              </w:rPr>
              <w:t xml:space="preserve">The final exam will take the form of </w:t>
            </w:r>
            <w:r>
              <w:rPr>
                <w:lang w:val="en-US"/>
              </w:rPr>
              <w:t>defending projects</w:t>
            </w:r>
            <w:r w:rsidRPr="00933DDE">
              <w:rPr>
                <w:lang w:val="en-US"/>
              </w:rPr>
              <w:t xml:space="preserve"> that amounts to 50% of the final grade.</w:t>
            </w:r>
          </w:p>
          <w:p w:rsidR="009B0314" w:rsidRDefault="009B0314" w:rsidP="00127250">
            <w:pPr>
              <w:ind w:firstLine="0"/>
              <w:rPr>
                <w:b/>
                <w:szCs w:val="24"/>
                <w:lang w:val="en-US"/>
              </w:rPr>
            </w:pPr>
            <w:r w:rsidRPr="0037347A">
              <w:rPr>
                <w:b/>
                <w:szCs w:val="24"/>
                <w:lang w:val="en-US"/>
              </w:rPr>
              <w:t>Assessment</w:t>
            </w:r>
          </w:p>
          <w:tbl>
            <w:tblPr>
              <w:tblW w:w="7868" w:type="dxa"/>
              <w:jc w:val="center"/>
              <w:tblInd w:w="1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7"/>
              <w:gridCol w:w="2409"/>
              <w:gridCol w:w="3492"/>
            </w:tblGrid>
            <w:tr w:rsidR="0061435A" w:rsidRPr="00EE38BB" w:rsidTr="0061435A">
              <w:trPr>
                <w:trHeight w:val="593"/>
                <w:jc w:val="center"/>
              </w:trPr>
              <w:tc>
                <w:tcPr>
                  <w:tcW w:w="1967" w:type="dxa"/>
                  <w:vMerge w:val="restart"/>
                  <w:vAlign w:val="center"/>
                </w:tcPr>
                <w:p w:rsidR="0061435A" w:rsidRPr="00EE38BB" w:rsidRDefault="0061435A" w:rsidP="0061435A">
                  <w:pPr>
                    <w:ind w:firstLine="28"/>
                    <w:jc w:val="center"/>
                    <w:rPr>
                      <w:b/>
                      <w:szCs w:val="24"/>
                    </w:rPr>
                  </w:pPr>
                  <w:r w:rsidRPr="00EE38BB">
                    <w:rPr>
                      <w:b/>
                      <w:szCs w:val="24"/>
                    </w:rPr>
                    <w:t>Type</w:t>
                  </w:r>
                  <w:r w:rsidR="00DB4F99">
                    <w:rPr>
                      <w:b/>
                      <w:szCs w:val="24"/>
                      <w:lang w:val="en-US"/>
                    </w:rPr>
                    <w:t xml:space="preserve"> </w:t>
                  </w:r>
                  <w:r w:rsidRPr="00EE38BB">
                    <w:rPr>
                      <w:b/>
                      <w:szCs w:val="24"/>
                    </w:rPr>
                    <w:t>of</w:t>
                  </w:r>
                  <w:r w:rsidR="00DB4F99">
                    <w:rPr>
                      <w:b/>
                      <w:szCs w:val="24"/>
                      <w:lang w:val="en-US"/>
                    </w:rPr>
                    <w:t xml:space="preserve"> </w:t>
                  </w:r>
                  <w:r w:rsidRPr="00EE38BB">
                    <w:rPr>
                      <w:b/>
                      <w:szCs w:val="24"/>
                    </w:rPr>
                    <w:t>testing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:rsidR="0061435A" w:rsidRPr="00EE38BB" w:rsidRDefault="0061435A" w:rsidP="0061435A">
                  <w:pPr>
                    <w:ind w:firstLine="28"/>
                    <w:jc w:val="center"/>
                    <w:rPr>
                      <w:b/>
                      <w:szCs w:val="24"/>
                    </w:rPr>
                  </w:pPr>
                  <w:r w:rsidRPr="00EE38BB">
                    <w:rPr>
                      <w:b/>
                      <w:szCs w:val="24"/>
                    </w:rPr>
                    <w:t>Form</w:t>
                  </w:r>
                  <w:r w:rsidR="00DB4F99">
                    <w:rPr>
                      <w:b/>
                      <w:szCs w:val="24"/>
                      <w:lang w:val="en-US"/>
                    </w:rPr>
                    <w:t xml:space="preserve"> </w:t>
                  </w:r>
                  <w:r w:rsidRPr="00EE38BB">
                    <w:rPr>
                      <w:b/>
                      <w:szCs w:val="24"/>
                    </w:rPr>
                    <w:t>of</w:t>
                  </w:r>
                  <w:r w:rsidR="00DB4F99">
                    <w:rPr>
                      <w:b/>
                      <w:szCs w:val="24"/>
                      <w:lang w:val="en-US"/>
                    </w:rPr>
                    <w:t xml:space="preserve"> </w:t>
                  </w:r>
                  <w:r w:rsidRPr="00EE38BB">
                    <w:rPr>
                      <w:b/>
                      <w:szCs w:val="24"/>
                    </w:rPr>
                    <w:t>testing</w:t>
                  </w:r>
                </w:p>
              </w:tc>
              <w:tc>
                <w:tcPr>
                  <w:tcW w:w="3492" w:type="dxa"/>
                  <w:vMerge w:val="restart"/>
                  <w:vAlign w:val="center"/>
                </w:tcPr>
                <w:p w:rsidR="0061435A" w:rsidRPr="00EE38BB" w:rsidRDefault="0061435A" w:rsidP="0061435A">
                  <w:pPr>
                    <w:ind w:firstLine="28"/>
                    <w:jc w:val="center"/>
                    <w:rPr>
                      <w:b/>
                      <w:szCs w:val="24"/>
                    </w:rPr>
                  </w:pPr>
                  <w:r w:rsidRPr="00EE38BB">
                    <w:rPr>
                      <w:b/>
                      <w:szCs w:val="24"/>
                    </w:rPr>
                    <w:t>Parameters</w:t>
                  </w:r>
                </w:p>
              </w:tc>
            </w:tr>
            <w:tr w:rsidR="0061435A" w:rsidRPr="00EE38BB" w:rsidTr="0061435A">
              <w:trPr>
                <w:trHeight w:val="593"/>
                <w:jc w:val="center"/>
              </w:trPr>
              <w:tc>
                <w:tcPr>
                  <w:tcW w:w="1967" w:type="dxa"/>
                  <w:vMerge/>
                </w:tcPr>
                <w:p w:rsidR="0061435A" w:rsidRPr="00EE38BB" w:rsidRDefault="0061435A" w:rsidP="0061435A">
                  <w:pPr>
                    <w:ind w:firstLine="28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409" w:type="dxa"/>
                  <w:vMerge/>
                </w:tcPr>
                <w:p w:rsidR="0061435A" w:rsidRPr="00EE38BB" w:rsidRDefault="0061435A" w:rsidP="0061435A">
                  <w:pPr>
                    <w:ind w:firstLine="28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3492" w:type="dxa"/>
                  <w:vMerge/>
                </w:tcPr>
                <w:p w:rsidR="0061435A" w:rsidRPr="00EE38BB" w:rsidRDefault="0061435A" w:rsidP="0061435A">
                  <w:pPr>
                    <w:ind w:firstLine="28"/>
                    <w:jc w:val="both"/>
                    <w:rPr>
                      <w:szCs w:val="24"/>
                    </w:rPr>
                  </w:pPr>
                </w:p>
              </w:tc>
            </w:tr>
            <w:tr w:rsidR="0061435A" w:rsidRPr="00CA159C" w:rsidTr="0061435A">
              <w:trPr>
                <w:trHeight w:val="436"/>
                <w:jc w:val="center"/>
              </w:trPr>
              <w:tc>
                <w:tcPr>
                  <w:tcW w:w="1967" w:type="dxa"/>
                  <w:vAlign w:val="center"/>
                </w:tcPr>
                <w:p w:rsidR="0061435A" w:rsidRPr="00EE38BB" w:rsidRDefault="0061435A" w:rsidP="0061435A">
                  <w:pPr>
                    <w:ind w:firstLine="28"/>
                    <w:jc w:val="center"/>
                    <w:rPr>
                      <w:b/>
                      <w:szCs w:val="24"/>
                    </w:rPr>
                  </w:pPr>
                  <w:r w:rsidRPr="00EE38BB">
                    <w:rPr>
                      <w:b/>
                      <w:szCs w:val="24"/>
                    </w:rPr>
                    <w:t>Current (50%)</w:t>
                  </w:r>
                </w:p>
              </w:tc>
              <w:tc>
                <w:tcPr>
                  <w:tcW w:w="2409" w:type="dxa"/>
                  <w:vAlign w:val="center"/>
                </w:tcPr>
                <w:p w:rsidR="0061435A" w:rsidRPr="00EE38BB" w:rsidRDefault="0061435A" w:rsidP="0061435A">
                  <w:pPr>
                    <w:ind w:firstLine="28"/>
                    <w:jc w:val="center"/>
                    <w:rPr>
                      <w:szCs w:val="24"/>
                    </w:rPr>
                  </w:pPr>
                  <w:r w:rsidRPr="00EE38BB">
                    <w:rPr>
                      <w:szCs w:val="24"/>
                    </w:rPr>
                    <w:t>Homework</w:t>
                  </w:r>
                </w:p>
              </w:tc>
              <w:tc>
                <w:tcPr>
                  <w:tcW w:w="3492" w:type="dxa"/>
                  <w:vAlign w:val="center"/>
                </w:tcPr>
                <w:p w:rsidR="0061435A" w:rsidRPr="00200ACC" w:rsidRDefault="00200ACC" w:rsidP="00200ACC">
                  <w:pPr>
                    <w:ind w:firstLine="0"/>
                    <w:jc w:val="both"/>
                    <w:rPr>
                      <w:szCs w:val="24"/>
                      <w:lang w:val="en-US"/>
                    </w:rPr>
                  </w:pPr>
                  <w:r w:rsidRPr="00200ACC">
                    <w:rPr>
                      <w:szCs w:val="24"/>
                      <w:lang w:val="en-US"/>
                    </w:rPr>
                    <w:t>Presentation the research’s results by home task</w:t>
                  </w:r>
                </w:p>
              </w:tc>
            </w:tr>
            <w:tr w:rsidR="0061435A" w:rsidRPr="00CA159C" w:rsidTr="0061435A">
              <w:trPr>
                <w:trHeight w:val="436"/>
                <w:jc w:val="center"/>
              </w:trPr>
              <w:tc>
                <w:tcPr>
                  <w:tcW w:w="1967" w:type="dxa"/>
                  <w:vAlign w:val="center"/>
                </w:tcPr>
                <w:p w:rsidR="0061435A" w:rsidRPr="00EE38BB" w:rsidRDefault="0061435A" w:rsidP="0061435A">
                  <w:pPr>
                    <w:ind w:firstLine="28"/>
                    <w:jc w:val="center"/>
                    <w:rPr>
                      <w:b/>
                      <w:szCs w:val="24"/>
                    </w:rPr>
                  </w:pPr>
                  <w:r w:rsidRPr="00EE38BB">
                    <w:rPr>
                      <w:b/>
                      <w:szCs w:val="24"/>
                    </w:rPr>
                    <w:t>Final (50%)</w:t>
                  </w:r>
                </w:p>
              </w:tc>
              <w:tc>
                <w:tcPr>
                  <w:tcW w:w="2409" w:type="dxa"/>
                  <w:vAlign w:val="center"/>
                </w:tcPr>
                <w:p w:rsidR="0061435A" w:rsidRPr="00EE38BB" w:rsidRDefault="0061435A" w:rsidP="0061435A">
                  <w:pPr>
                    <w:ind w:firstLine="28"/>
                    <w:jc w:val="center"/>
                    <w:rPr>
                      <w:szCs w:val="24"/>
                    </w:rPr>
                  </w:pPr>
                  <w:r w:rsidRPr="00EE38BB">
                    <w:rPr>
                      <w:szCs w:val="24"/>
                    </w:rPr>
                    <w:t>Exam</w:t>
                  </w:r>
                </w:p>
              </w:tc>
              <w:tc>
                <w:tcPr>
                  <w:tcW w:w="3492" w:type="dxa"/>
                  <w:vAlign w:val="center"/>
                </w:tcPr>
                <w:p w:rsidR="0061435A" w:rsidRPr="00200ACC" w:rsidRDefault="00200ACC" w:rsidP="00200ACC">
                  <w:pPr>
                    <w:ind w:firstLine="0"/>
                    <w:rPr>
                      <w:szCs w:val="24"/>
                      <w:lang w:val="en-US"/>
                    </w:rPr>
                  </w:pPr>
                  <w:r w:rsidRPr="00200ACC">
                    <w:rPr>
                      <w:szCs w:val="24"/>
                      <w:lang w:val="en-US"/>
                    </w:rPr>
                    <w:t>Final presentation of student teams’ projec</w:t>
                  </w:r>
                  <w:r>
                    <w:rPr>
                      <w:szCs w:val="24"/>
                      <w:lang w:val="en-US"/>
                    </w:rPr>
                    <w:t>t</w:t>
                  </w:r>
                </w:p>
              </w:tc>
            </w:tr>
          </w:tbl>
          <w:p w:rsidR="009B0314" w:rsidRPr="00D76DBE" w:rsidRDefault="00D76DBE" w:rsidP="0061435A">
            <w:pPr>
              <w:ind w:firstLine="0"/>
              <w:rPr>
                <w:b/>
                <w:szCs w:val="24"/>
              </w:rPr>
            </w:pPr>
            <w:r w:rsidRPr="00D76DBE">
              <w:rPr>
                <w:b/>
                <w:szCs w:val="24"/>
              </w:rPr>
              <w:t>Task</w:t>
            </w:r>
            <w:r w:rsidRPr="00D76DBE">
              <w:rPr>
                <w:b/>
                <w:szCs w:val="24"/>
                <w:lang w:val="en-US"/>
              </w:rPr>
              <w:t>s</w:t>
            </w:r>
            <w:r w:rsidRPr="00D76DBE">
              <w:rPr>
                <w:b/>
                <w:szCs w:val="24"/>
              </w:rPr>
              <w:t xml:space="preserve"> to seminars:</w:t>
            </w:r>
          </w:p>
          <w:p w:rsidR="00B372D3" w:rsidRPr="000746B7" w:rsidRDefault="00B372D3" w:rsidP="00B372D3">
            <w:pPr>
              <w:numPr>
                <w:ilvl w:val="0"/>
                <w:numId w:val="18"/>
              </w:numPr>
              <w:rPr>
                <w:szCs w:val="24"/>
                <w:lang w:val="en-US"/>
              </w:rPr>
            </w:pPr>
            <w:r w:rsidRPr="000746B7">
              <w:rPr>
                <w:szCs w:val="24"/>
                <w:lang w:val="en-US"/>
              </w:rPr>
              <w:t xml:space="preserve">Describing and explaining your choice of </w:t>
            </w:r>
            <w:r>
              <w:rPr>
                <w:szCs w:val="24"/>
                <w:lang w:val="en-US"/>
              </w:rPr>
              <w:t>company</w:t>
            </w:r>
            <w:r w:rsidRPr="000746B7">
              <w:rPr>
                <w:szCs w:val="24"/>
                <w:lang w:val="en-US"/>
              </w:rPr>
              <w:t xml:space="preserve"> based on the first lecture materials</w:t>
            </w:r>
          </w:p>
          <w:p w:rsidR="00B372D3" w:rsidRPr="000746B7" w:rsidRDefault="00B372D3" w:rsidP="00B372D3">
            <w:pPr>
              <w:numPr>
                <w:ilvl w:val="0"/>
                <w:numId w:val="18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Identification of attributes of the brand of the chosen company</w:t>
            </w:r>
          </w:p>
          <w:p w:rsidR="00B372D3" w:rsidRPr="000746B7" w:rsidRDefault="001A039B" w:rsidP="00B372D3">
            <w:pPr>
              <w:numPr>
                <w:ilvl w:val="0"/>
                <w:numId w:val="18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Analysis of brand capital of the chosen company</w:t>
            </w:r>
          </w:p>
          <w:p w:rsidR="00B372D3" w:rsidRPr="000746B7" w:rsidRDefault="001A039B" w:rsidP="00B372D3">
            <w:pPr>
              <w:numPr>
                <w:ilvl w:val="0"/>
                <w:numId w:val="18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Factors of brand value of the chosen company</w:t>
            </w:r>
          </w:p>
          <w:p w:rsidR="00B372D3" w:rsidRPr="000746B7" w:rsidRDefault="001A039B" w:rsidP="00B372D3">
            <w:pPr>
              <w:numPr>
                <w:ilvl w:val="0"/>
                <w:numId w:val="18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Analysis of the company’s brand portfolio</w:t>
            </w:r>
          </w:p>
          <w:p w:rsidR="00D76DBE" w:rsidRPr="00D76DBE" w:rsidRDefault="001A039B" w:rsidP="00B372D3">
            <w:pPr>
              <w:numPr>
                <w:ilvl w:val="0"/>
                <w:numId w:val="18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Analysis of company’s brand strategy</w:t>
            </w:r>
          </w:p>
        </w:tc>
      </w:tr>
      <w:tr w:rsidR="009B0314" w:rsidRPr="00CA159C" w:rsidTr="00127250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Readings / Indicative Learning Resources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435A" w:rsidRPr="001B2D07" w:rsidRDefault="0061435A" w:rsidP="001A039B">
            <w:pPr>
              <w:rPr>
                <w:b/>
                <w:lang w:val="en-US"/>
              </w:rPr>
            </w:pPr>
            <w:r w:rsidRPr="001B2D07">
              <w:rPr>
                <w:b/>
                <w:lang w:val="en-US"/>
              </w:rPr>
              <w:t>Main textbook</w:t>
            </w:r>
          </w:p>
          <w:p w:rsidR="001A039B" w:rsidRPr="001A039B" w:rsidRDefault="001A039B" w:rsidP="001A039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1A039B">
              <w:rPr>
                <w:color w:val="000000"/>
                <w:lang w:val="en-US"/>
              </w:rPr>
              <w:t>Aaker, David (1991), Managing Brand Equity: Capitalizing on the Value of a Brand Name, New York, The Free Press.</w:t>
            </w:r>
          </w:p>
          <w:p w:rsidR="0061435A" w:rsidRPr="001B2D07" w:rsidRDefault="0061435A" w:rsidP="001A039B">
            <w:pPr>
              <w:jc w:val="both"/>
              <w:rPr>
                <w:b/>
                <w:lang w:val="en-US"/>
              </w:rPr>
            </w:pPr>
            <w:r w:rsidRPr="001B2D07">
              <w:rPr>
                <w:b/>
                <w:lang w:val="en-US"/>
              </w:rPr>
              <w:t>Additional readings</w:t>
            </w:r>
          </w:p>
          <w:p w:rsidR="001A039B" w:rsidRPr="001A039B" w:rsidRDefault="001A039B" w:rsidP="001A039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1A039B">
              <w:rPr>
                <w:color w:val="000000"/>
                <w:lang w:val="en-US"/>
              </w:rPr>
              <w:t>Aaker, David (1991), Managing Brand Equity: Capitalizing on the Value of a Brand Name, New York, The Free Press.</w:t>
            </w:r>
          </w:p>
          <w:p w:rsidR="001A039B" w:rsidRPr="001A039B" w:rsidRDefault="001A039B" w:rsidP="001A039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1A039B">
              <w:rPr>
                <w:color w:val="000000"/>
                <w:lang w:val="en-US"/>
              </w:rPr>
              <w:t>Aufreiter, Nora A., Elzinga, David, Gordon, Jonathan W. (2003), Better Branding, The McKinsey Quarterly, No.4.</w:t>
            </w:r>
          </w:p>
          <w:p w:rsidR="001A039B" w:rsidRPr="001A039B" w:rsidRDefault="001A039B" w:rsidP="001A039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1A039B">
              <w:rPr>
                <w:color w:val="000000"/>
                <w:lang w:val="en-US"/>
              </w:rPr>
              <w:t>Court, David C., Narasimhan, Laxman, Gordon, Jonathan, Elzinga, Dave “Building Strong Brands Better, Faster, and Cheaper”, McKinsey Marketing Solutions.</w:t>
            </w:r>
          </w:p>
          <w:p w:rsidR="001A039B" w:rsidRPr="001A039B" w:rsidRDefault="001A039B" w:rsidP="001A039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1A039B">
              <w:rPr>
                <w:color w:val="000000"/>
                <w:lang w:val="en-US"/>
              </w:rPr>
              <w:t>de Chernatony, L. (2010) From Brand Vision to Brand Evaluation, Butterworth-Heinemann, Oxford.</w:t>
            </w:r>
          </w:p>
          <w:p w:rsidR="001A039B" w:rsidRPr="001A039B" w:rsidRDefault="001A039B" w:rsidP="001A039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1A039B">
              <w:rPr>
                <w:color w:val="000000"/>
                <w:lang w:val="en-US"/>
              </w:rPr>
              <w:t>Keegan, W.J. and Green, M.C. (2011) Global Marketing, Pearson Education, London.</w:t>
            </w:r>
          </w:p>
          <w:p w:rsidR="009B0314" w:rsidRPr="001A039B" w:rsidRDefault="001A039B" w:rsidP="001A039B">
            <w:pPr>
              <w:pStyle w:val="ad"/>
              <w:spacing w:before="0" w:beforeAutospacing="0" w:after="0" w:afterAutospacing="0"/>
              <w:rPr>
                <w:color w:val="000000"/>
                <w:sz w:val="27"/>
                <w:szCs w:val="27"/>
                <w:lang w:val="en-US"/>
              </w:rPr>
            </w:pPr>
            <w:r w:rsidRPr="001A039B">
              <w:rPr>
                <w:color w:val="000000"/>
                <w:lang w:val="en-US"/>
              </w:rPr>
              <w:t>Kotabe, M. and Helsen, K. (2011) Global Marketing Management, 4th Edition, John Wiley, US</w:t>
            </w:r>
          </w:p>
        </w:tc>
      </w:tr>
      <w:tr w:rsidR="009B0314" w:rsidRPr="00CA159C" w:rsidTr="00127250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Academic Support for the Course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856644" w:rsidP="00C9243A">
            <w:pPr>
              <w:ind w:firstLine="0"/>
              <w:jc w:val="both"/>
              <w:rPr>
                <w:szCs w:val="24"/>
                <w:lang w:val="en-US"/>
              </w:rPr>
            </w:pPr>
            <w:r w:rsidRPr="00DE0291">
              <w:rPr>
                <w:szCs w:val="24"/>
                <w:lang w:val="en-US"/>
              </w:rPr>
              <w:t xml:space="preserve">For achieving targets of discipline teachers need to be integrated into an interconnected set of content of lectures, seminars and independent work of </w:t>
            </w:r>
            <w:r w:rsidRPr="00DE0291">
              <w:rPr>
                <w:szCs w:val="24"/>
                <w:lang w:val="en-US"/>
              </w:rPr>
              <w:lastRenderedPageBreak/>
              <w:t xml:space="preserve">masters. The aim of the discipline, as mentioned earlier, is the formation of universal and professional competences in the field of </w:t>
            </w:r>
            <w:r w:rsidR="00C9243A">
              <w:rPr>
                <w:szCs w:val="24"/>
                <w:lang w:val="en-US"/>
              </w:rPr>
              <w:t>FinTech’s</w:t>
            </w:r>
            <w:r w:rsidRPr="00DE0291">
              <w:rPr>
                <w:szCs w:val="24"/>
                <w:lang w:val="en-US"/>
              </w:rPr>
              <w:t xml:space="preserve"> development of companies.</w:t>
            </w:r>
          </w:p>
        </w:tc>
      </w:tr>
      <w:tr w:rsidR="009B0314" w:rsidRPr="00CA159C" w:rsidTr="00127250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lastRenderedPageBreak/>
              <w:t>Facilities, Equipment and Software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856644" w:rsidP="00C9243A">
            <w:pPr>
              <w:ind w:firstLine="0"/>
              <w:jc w:val="both"/>
              <w:rPr>
                <w:szCs w:val="24"/>
                <w:lang w:val="en-US"/>
              </w:rPr>
            </w:pPr>
            <w:r w:rsidRPr="00DE0291">
              <w:rPr>
                <w:szCs w:val="24"/>
                <w:lang w:val="en-US"/>
              </w:rPr>
              <w:t>For the successful development of the discipline, the student uses the following software: Microsoft Office package (Word, Excel, PowerPoint), Acrobat Reader.</w:t>
            </w:r>
            <w:r w:rsidR="009B0314" w:rsidRPr="009545DA">
              <w:rPr>
                <w:szCs w:val="24"/>
                <w:lang w:val="en-US"/>
              </w:rPr>
              <w:t>LCD projector</w:t>
            </w:r>
          </w:p>
        </w:tc>
      </w:tr>
      <w:tr w:rsidR="009B0314" w:rsidRPr="00856644" w:rsidTr="00127250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9545DA" w:rsidRDefault="009B0314" w:rsidP="00127250">
            <w:pPr>
              <w:ind w:firstLine="0"/>
              <w:rPr>
                <w:szCs w:val="24"/>
                <w:lang w:val="en-US"/>
              </w:rPr>
            </w:pPr>
            <w:r w:rsidRPr="009545DA">
              <w:rPr>
                <w:szCs w:val="24"/>
                <w:lang w:val="en-US"/>
              </w:rPr>
              <w:t>Course Instructors</w:t>
            </w:r>
          </w:p>
        </w:tc>
        <w:tc>
          <w:tcPr>
            <w:tcW w:w="7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314" w:rsidRPr="00C02669" w:rsidRDefault="00DB4F99" w:rsidP="00C9243A">
            <w:pPr>
              <w:ind w:firstLine="0"/>
              <w:jc w:val="both"/>
              <w:rPr>
                <w:szCs w:val="24"/>
                <w:shd w:val="clear" w:color="auto" w:fill="FFFFFF"/>
                <w:lang w:val="es-ES"/>
              </w:rPr>
            </w:pPr>
            <w:r>
              <w:rPr>
                <w:szCs w:val="24"/>
                <w:shd w:val="clear" w:color="auto" w:fill="FFFFFF"/>
                <w:lang w:val="es-ES"/>
              </w:rPr>
              <w:t>Ivan Kotlia</w:t>
            </w:r>
            <w:r w:rsidR="001A039B">
              <w:rPr>
                <w:szCs w:val="24"/>
                <w:shd w:val="clear" w:color="auto" w:fill="FFFFFF"/>
                <w:lang w:val="es-ES"/>
              </w:rPr>
              <w:t>rov</w:t>
            </w:r>
          </w:p>
        </w:tc>
      </w:tr>
    </w:tbl>
    <w:p w:rsidR="004942E3" w:rsidRPr="00856644" w:rsidRDefault="004942E3" w:rsidP="00B95405">
      <w:pPr>
        <w:jc w:val="both"/>
        <w:rPr>
          <w:lang w:val="en-US"/>
        </w:rPr>
      </w:pPr>
    </w:p>
    <w:sectPr w:rsidR="004942E3" w:rsidRPr="00856644" w:rsidSect="00127250">
      <w:headerReference w:type="first" r:id="rId8"/>
      <w:pgSz w:w="11906" w:h="16838"/>
      <w:pgMar w:top="678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2B" w:rsidRDefault="00412C2B" w:rsidP="004A475C">
      <w:r>
        <w:separator/>
      </w:r>
    </w:p>
  </w:endnote>
  <w:endnote w:type="continuationSeparator" w:id="0">
    <w:p w:rsidR="00412C2B" w:rsidRDefault="00412C2B" w:rsidP="004A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2B" w:rsidRDefault="00412C2B" w:rsidP="004A475C">
      <w:r>
        <w:separator/>
      </w:r>
    </w:p>
  </w:footnote>
  <w:footnote w:type="continuationSeparator" w:id="0">
    <w:p w:rsidR="00412C2B" w:rsidRDefault="00412C2B" w:rsidP="004A4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9438"/>
    </w:tblGrid>
    <w:tr w:rsidR="00C84479" w:rsidTr="00127250">
      <w:tc>
        <w:tcPr>
          <w:tcW w:w="872" w:type="dxa"/>
        </w:tcPr>
        <w:p w:rsidR="00C84479" w:rsidRDefault="00C75D0E" w:rsidP="00127250">
          <w:pPr>
            <w:pStyle w:val="a4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C84479" w:rsidRPr="00060113" w:rsidRDefault="00C84479" w:rsidP="00127250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fldSimple w:instr=" FILLIN   \* MERGEFORMAT ">
            <w:r w:rsidR="00AB5E9E" w:rsidRPr="00AB5E9E">
              <w:rPr>
                <w:sz w:val="20"/>
                <w:szCs w:val="20"/>
              </w:rPr>
              <w:t>Financial Technology</w:t>
            </w:r>
          </w:fldSimple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="00CB7061">
            <w:fldChar w:fldCharType="begin"/>
          </w:r>
          <w:r>
            <w:instrText xml:space="preserve"> FILLIN   \* MERGEFORMAT </w:instrText>
          </w:r>
          <w:r w:rsidR="00CB7061">
            <w:fldChar w:fldCharType="separate"/>
          </w:r>
          <w:r w:rsidR="00AB5E9E" w:rsidRPr="00AB5E9E">
            <w:rPr>
              <w:sz w:val="20"/>
              <w:szCs w:val="20"/>
            </w:rPr>
            <w:t>All Areas of Studies</w:t>
          </w:r>
          <w:r w:rsidR="00CB7061"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C84479" w:rsidRPr="0068711A" w:rsidRDefault="00C84479">
    <w:pPr>
      <w:pStyle w:val="a4"/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877"/>
    <w:multiLevelType w:val="hybridMultilevel"/>
    <w:tmpl w:val="C2B8BA0C"/>
    <w:lvl w:ilvl="0" w:tplc="E952A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24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7C3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61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C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8A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9461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08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C5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C82B10"/>
    <w:multiLevelType w:val="hybridMultilevel"/>
    <w:tmpl w:val="86DC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75C0E"/>
    <w:multiLevelType w:val="hybridMultilevel"/>
    <w:tmpl w:val="9782D4E8"/>
    <w:lvl w:ilvl="0" w:tplc="23C6B3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B4499F"/>
    <w:multiLevelType w:val="hybridMultilevel"/>
    <w:tmpl w:val="0B52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22F68"/>
    <w:multiLevelType w:val="hybridMultilevel"/>
    <w:tmpl w:val="DF207264"/>
    <w:lvl w:ilvl="0" w:tplc="062AEDB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3A801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BC89A3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EB6790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B80B37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944E7B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060A8D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6AC8EB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7C40E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A274D57"/>
    <w:multiLevelType w:val="hybridMultilevel"/>
    <w:tmpl w:val="88022D4C"/>
    <w:lvl w:ilvl="0" w:tplc="24506BE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B58775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0E6E15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AAC209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B98B69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1EADBD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3C4E2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AD83D7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026C97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64F294E"/>
    <w:multiLevelType w:val="hybridMultilevel"/>
    <w:tmpl w:val="A526417E"/>
    <w:lvl w:ilvl="0" w:tplc="EC6C6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EF83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BF46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4A2E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024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660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D622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D2CE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0E40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A520A77"/>
    <w:multiLevelType w:val="hybridMultilevel"/>
    <w:tmpl w:val="66B6EE72"/>
    <w:lvl w:ilvl="0" w:tplc="276CA6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A41CF"/>
    <w:multiLevelType w:val="hybridMultilevel"/>
    <w:tmpl w:val="C7C681B0"/>
    <w:lvl w:ilvl="0" w:tplc="BE601B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4CE4C71"/>
    <w:multiLevelType w:val="hybridMultilevel"/>
    <w:tmpl w:val="ACB05B74"/>
    <w:lvl w:ilvl="0" w:tplc="23C6B3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161696"/>
    <w:multiLevelType w:val="hybridMultilevel"/>
    <w:tmpl w:val="6AF80CA6"/>
    <w:lvl w:ilvl="0" w:tplc="F1444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0E7A13"/>
    <w:multiLevelType w:val="hybridMultilevel"/>
    <w:tmpl w:val="27542678"/>
    <w:lvl w:ilvl="0" w:tplc="422CE920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5D735C47"/>
    <w:multiLevelType w:val="hybridMultilevel"/>
    <w:tmpl w:val="B992C5FC"/>
    <w:lvl w:ilvl="0" w:tplc="23C6B3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A51453"/>
    <w:multiLevelType w:val="hybridMultilevel"/>
    <w:tmpl w:val="A4F62282"/>
    <w:lvl w:ilvl="0" w:tplc="CF8E3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0959C2"/>
    <w:multiLevelType w:val="hybridMultilevel"/>
    <w:tmpl w:val="9D98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D17FB"/>
    <w:multiLevelType w:val="hybridMultilevel"/>
    <w:tmpl w:val="B44C7250"/>
    <w:lvl w:ilvl="0" w:tplc="5E649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EE3F03"/>
    <w:multiLevelType w:val="hybridMultilevel"/>
    <w:tmpl w:val="7D42F2A6"/>
    <w:lvl w:ilvl="0" w:tplc="63807E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66781"/>
    <w:multiLevelType w:val="hybridMultilevel"/>
    <w:tmpl w:val="D256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4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9"/>
  </w:num>
  <w:num w:numId="10">
    <w:abstractNumId w:val="10"/>
  </w:num>
  <w:num w:numId="11">
    <w:abstractNumId w:val="3"/>
  </w:num>
  <w:num w:numId="12">
    <w:abstractNumId w:val="13"/>
  </w:num>
  <w:num w:numId="13">
    <w:abstractNumId w:val="2"/>
  </w:num>
  <w:num w:numId="14">
    <w:abstractNumId w:val="7"/>
  </w:num>
  <w:num w:numId="15">
    <w:abstractNumId w:val="6"/>
  </w:num>
  <w:num w:numId="16">
    <w:abstractNumId w:val="5"/>
  </w:num>
  <w:num w:numId="17">
    <w:abstractNumId w:val="0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14"/>
    <w:rsid w:val="00020B0A"/>
    <w:rsid w:val="000721F8"/>
    <w:rsid w:val="000D366E"/>
    <w:rsid w:val="0011658E"/>
    <w:rsid w:val="00127250"/>
    <w:rsid w:val="001355B7"/>
    <w:rsid w:val="00146BF5"/>
    <w:rsid w:val="00172534"/>
    <w:rsid w:val="00175B98"/>
    <w:rsid w:val="00195B67"/>
    <w:rsid w:val="001978FF"/>
    <w:rsid w:val="001A039B"/>
    <w:rsid w:val="001B0B66"/>
    <w:rsid w:val="001D6A02"/>
    <w:rsid w:val="001F379F"/>
    <w:rsid w:val="00200ACC"/>
    <w:rsid w:val="00205612"/>
    <w:rsid w:val="002214D0"/>
    <w:rsid w:val="00225FAE"/>
    <w:rsid w:val="00236A57"/>
    <w:rsid w:val="002419A8"/>
    <w:rsid w:val="002700E7"/>
    <w:rsid w:val="002B396C"/>
    <w:rsid w:val="002B6E21"/>
    <w:rsid w:val="002D348B"/>
    <w:rsid w:val="002E27FC"/>
    <w:rsid w:val="00334466"/>
    <w:rsid w:val="003976C3"/>
    <w:rsid w:val="00412C2B"/>
    <w:rsid w:val="004358A7"/>
    <w:rsid w:val="004747C2"/>
    <w:rsid w:val="00485099"/>
    <w:rsid w:val="004942E3"/>
    <w:rsid w:val="004A475C"/>
    <w:rsid w:val="004D20E2"/>
    <w:rsid w:val="004D3AF0"/>
    <w:rsid w:val="005207C7"/>
    <w:rsid w:val="00523591"/>
    <w:rsid w:val="005270B7"/>
    <w:rsid w:val="005448FD"/>
    <w:rsid w:val="00555B70"/>
    <w:rsid w:val="00584713"/>
    <w:rsid w:val="005C6157"/>
    <w:rsid w:val="00600CBC"/>
    <w:rsid w:val="0061435A"/>
    <w:rsid w:val="00633CB5"/>
    <w:rsid w:val="00656740"/>
    <w:rsid w:val="006864FF"/>
    <w:rsid w:val="00750A14"/>
    <w:rsid w:val="0076041B"/>
    <w:rsid w:val="00786B15"/>
    <w:rsid w:val="007A65CC"/>
    <w:rsid w:val="007B4A74"/>
    <w:rsid w:val="007E19A8"/>
    <w:rsid w:val="00806144"/>
    <w:rsid w:val="00827A25"/>
    <w:rsid w:val="008337B5"/>
    <w:rsid w:val="00856644"/>
    <w:rsid w:val="00866AC3"/>
    <w:rsid w:val="00881FB0"/>
    <w:rsid w:val="008B1923"/>
    <w:rsid w:val="00900C0F"/>
    <w:rsid w:val="00941326"/>
    <w:rsid w:val="009420CF"/>
    <w:rsid w:val="00951874"/>
    <w:rsid w:val="00956C33"/>
    <w:rsid w:val="009650B1"/>
    <w:rsid w:val="00971D83"/>
    <w:rsid w:val="00973E51"/>
    <w:rsid w:val="0097553F"/>
    <w:rsid w:val="00996E09"/>
    <w:rsid w:val="009B0314"/>
    <w:rsid w:val="00A16FEB"/>
    <w:rsid w:val="00A33D69"/>
    <w:rsid w:val="00A50DE7"/>
    <w:rsid w:val="00A82810"/>
    <w:rsid w:val="00AA66D2"/>
    <w:rsid w:val="00AA6C37"/>
    <w:rsid w:val="00AB5E9E"/>
    <w:rsid w:val="00AE06AE"/>
    <w:rsid w:val="00AF3E08"/>
    <w:rsid w:val="00B372D3"/>
    <w:rsid w:val="00B444BB"/>
    <w:rsid w:val="00B95405"/>
    <w:rsid w:val="00BD01BE"/>
    <w:rsid w:val="00BE04A5"/>
    <w:rsid w:val="00C02669"/>
    <w:rsid w:val="00C02B45"/>
    <w:rsid w:val="00C0337B"/>
    <w:rsid w:val="00C269D1"/>
    <w:rsid w:val="00C55E74"/>
    <w:rsid w:val="00C55EA5"/>
    <w:rsid w:val="00C7592B"/>
    <w:rsid w:val="00C75D0E"/>
    <w:rsid w:val="00C8304D"/>
    <w:rsid w:val="00C84479"/>
    <w:rsid w:val="00C9243A"/>
    <w:rsid w:val="00CA159C"/>
    <w:rsid w:val="00CA6177"/>
    <w:rsid w:val="00CB7061"/>
    <w:rsid w:val="00CB7DFC"/>
    <w:rsid w:val="00CE19BE"/>
    <w:rsid w:val="00D2291C"/>
    <w:rsid w:val="00D315D9"/>
    <w:rsid w:val="00D55B3A"/>
    <w:rsid w:val="00D64848"/>
    <w:rsid w:val="00D71F39"/>
    <w:rsid w:val="00D753D2"/>
    <w:rsid w:val="00D76DBE"/>
    <w:rsid w:val="00D8755B"/>
    <w:rsid w:val="00DB4F99"/>
    <w:rsid w:val="00DE0291"/>
    <w:rsid w:val="00E03355"/>
    <w:rsid w:val="00E21C46"/>
    <w:rsid w:val="00E34490"/>
    <w:rsid w:val="00EB36C4"/>
    <w:rsid w:val="00EB664A"/>
    <w:rsid w:val="00F067E6"/>
    <w:rsid w:val="00FA6EEE"/>
    <w:rsid w:val="00FB6DDD"/>
    <w:rsid w:val="00FC64F9"/>
    <w:rsid w:val="00FF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0314"/>
    <w:pPr>
      <w:ind w:firstLine="709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ованный содержание"/>
    <w:basedOn w:val="a0"/>
    <w:rsid w:val="009B0314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9B03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B0314"/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0"/>
    <w:link w:val="a7"/>
    <w:uiPriority w:val="99"/>
    <w:semiHidden/>
    <w:unhideWhenUsed/>
    <w:rsid w:val="009B03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B0314"/>
    <w:rPr>
      <w:rFonts w:ascii="Tahoma" w:eastAsia="Calibri" w:hAnsi="Tahoma" w:cs="Tahoma"/>
      <w:sz w:val="16"/>
      <w:szCs w:val="16"/>
    </w:rPr>
  </w:style>
  <w:style w:type="paragraph" w:styleId="a8">
    <w:name w:val="footer"/>
    <w:basedOn w:val="a0"/>
    <w:link w:val="a9"/>
    <w:unhideWhenUsed/>
    <w:rsid w:val="004A4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A475C"/>
    <w:rPr>
      <w:rFonts w:ascii="Times New Roman" w:eastAsia="Calibri" w:hAnsi="Times New Roman" w:cs="Times New Roman"/>
      <w:sz w:val="24"/>
    </w:rPr>
  </w:style>
  <w:style w:type="paragraph" w:styleId="aa">
    <w:name w:val="List Paragraph"/>
    <w:basedOn w:val="a0"/>
    <w:uiPriority w:val="34"/>
    <w:qFormat/>
    <w:rsid w:val="004A475C"/>
    <w:pPr>
      <w:ind w:left="720"/>
      <w:contextualSpacing/>
    </w:pPr>
  </w:style>
  <w:style w:type="paragraph" w:customStyle="1" w:styleId="BodyTextIndent21">
    <w:name w:val="Body Text Indent 21"/>
    <w:basedOn w:val="a0"/>
    <w:rsid w:val="00D8755B"/>
    <w:pPr>
      <w:widowControl w:val="0"/>
      <w:spacing w:before="240" w:after="120"/>
      <w:ind w:left="720" w:hanging="720"/>
    </w:pPr>
    <w:rPr>
      <w:rFonts w:eastAsia="Times New Roman"/>
      <w:b/>
      <w:szCs w:val="20"/>
      <w:lang w:eastAsia="ru-RU"/>
    </w:rPr>
  </w:style>
  <w:style w:type="character" w:styleId="ab">
    <w:name w:val="Hyperlink"/>
    <w:uiPriority w:val="99"/>
    <w:unhideWhenUsed/>
    <w:rsid w:val="00973E51"/>
    <w:rPr>
      <w:color w:val="0000FF"/>
      <w:u w:val="single"/>
    </w:rPr>
  </w:style>
  <w:style w:type="paragraph" w:customStyle="1" w:styleId="Default">
    <w:name w:val="Default"/>
    <w:rsid w:val="005270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Strong"/>
    <w:uiPriority w:val="22"/>
    <w:qFormat/>
    <w:rsid w:val="00C9243A"/>
    <w:rPr>
      <w:b/>
      <w:bCs/>
    </w:rPr>
  </w:style>
  <w:style w:type="character" w:customStyle="1" w:styleId="apple-converted-space">
    <w:name w:val="apple-converted-space"/>
    <w:basedOn w:val="a1"/>
    <w:rsid w:val="00C9243A"/>
  </w:style>
  <w:style w:type="paragraph" w:styleId="ad">
    <w:name w:val="Normal (Web)"/>
    <w:basedOn w:val="a0"/>
    <w:uiPriority w:val="99"/>
    <w:unhideWhenUsed/>
    <w:rsid w:val="001A039B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0314"/>
    <w:pPr>
      <w:ind w:firstLine="709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ованный содержание"/>
    <w:basedOn w:val="a0"/>
    <w:rsid w:val="009B0314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9B03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B0314"/>
    <w:rPr>
      <w:rFonts w:ascii="Times New Roman" w:eastAsia="Calibri" w:hAnsi="Times New Roman" w:cs="Times New Roman"/>
      <w:sz w:val="24"/>
    </w:rPr>
  </w:style>
  <w:style w:type="paragraph" w:styleId="a6">
    <w:name w:val="Balloon Text"/>
    <w:basedOn w:val="a0"/>
    <w:link w:val="a7"/>
    <w:uiPriority w:val="99"/>
    <w:semiHidden/>
    <w:unhideWhenUsed/>
    <w:rsid w:val="009B03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B0314"/>
    <w:rPr>
      <w:rFonts w:ascii="Tahoma" w:eastAsia="Calibri" w:hAnsi="Tahoma" w:cs="Tahoma"/>
      <w:sz w:val="16"/>
      <w:szCs w:val="16"/>
    </w:rPr>
  </w:style>
  <w:style w:type="paragraph" w:styleId="a8">
    <w:name w:val="footer"/>
    <w:basedOn w:val="a0"/>
    <w:link w:val="a9"/>
    <w:unhideWhenUsed/>
    <w:rsid w:val="004A47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A475C"/>
    <w:rPr>
      <w:rFonts w:ascii="Times New Roman" w:eastAsia="Calibri" w:hAnsi="Times New Roman" w:cs="Times New Roman"/>
      <w:sz w:val="24"/>
    </w:rPr>
  </w:style>
  <w:style w:type="paragraph" w:styleId="aa">
    <w:name w:val="List Paragraph"/>
    <w:basedOn w:val="a0"/>
    <w:uiPriority w:val="34"/>
    <w:qFormat/>
    <w:rsid w:val="004A475C"/>
    <w:pPr>
      <w:ind w:left="720"/>
      <w:contextualSpacing/>
    </w:pPr>
  </w:style>
  <w:style w:type="paragraph" w:customStyle="1" w:styleId="BodyTextIndent21">
    <w:name w:val="Body Text Indent 21"/>
    <w:basedOn w:val="a0"/>
    <w:rsid w:val="00D8755B"/>
    <w:pPr>
      <w:widowControl w:val="0"/>
      <w:spacing w:before="240" w:after="120"/>
      <w:ind w:left="720" w:hanging="720"/>
    </w:pPr>
    <w:rPr>
      <w:rFonts w:eastAsia="Times New Roman"/>
      <w:b/>
      <w:szCs w:val="20"/>
      <w:lang w:eastAsia="ru-RU"/>
    </w:rPr>
  </w:style>
  <w:style w:type="character" w:styleId="ab">
    <w:name w:val="Hyperlink"/>
    <w:uiPriority w:val="99"/>
    <w:unhideWhenUsed/>
    <w:rsid w:val="00973E51"/>
    <w:rPr>
      <w:color w:val="0000FF"/>
      <w:u w:val="single"/>
    </w:rPr>
  </w:style>
  <w:style w:type="paragraph" w:customStyle="1" w:styleId="Default">
    <w:name w:val="Default"/>
    <w:rsid w:val="005270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Strong"/>
    <w:uiPriority w:val="22"/>
    <w:qFormat/>
    <w:rsid w:val="00C9243A"/>
    <w:rPr>
      <w:b/>
      <w:bCs/>
    </w:rPr>
  </w:style>
  <w:style w:type="character" w:customStyle="1" w:styleId="apple-converted-space">
    <w:name w:val="apple-converted-space"/>
    <w:basedOn w:val="a1"/>
    <w:rsid w:val="00C9243A"/>
  </w:style>
  <w:style w:type="paragraph" w:styleId="ad">
    <w:name w:val="Normal (Web)"/>
    <w:basedOn w:val="a0"/>
    <w:uiPriority w:val="99"/>
    <w:unhideWhenUsed/>
    <w:rsid w:val="001A039B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9219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108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982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239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limtu</Company>
  <LinksUpToDate>false</LinksUpToDate>
  <CharactersWithSpaces>4082</CharactersWithSpaces>
  <SharedDoc>false</SharedDoc>
  <HLinks>
    <vt:vector size="12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6463</vt:i4>
      </vt:variant>
      <vt:variant>
        <vt:i4>1025</vt:i4>
      </vt:variant>
      <vt:variant>
        <vt:i4>4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Гальченко Валерия Александровна</cp:lastModifiedBy>
  <cp:revision>2</cp:revision>
  <cp:lastPrinted>2018-02-08T09:20:00Z</cp:lastPrinted>
  <dcterms:created xsi:type="dcterms:W3CDTF">2019-05-31T13:04:00Z</dcterms:created>
  <dcterms:modified xsi:type="dcterms:W3CDTF">2019-05-31T13:04:00Z</dcterms:modified>
</cp:coreProperties>
</file>