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B819" w14:textId="77777777" w:rsidR="00C42A27" w:rsidRDefault="002C1A1A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Syllabus</w:t>
      </w:r>
    </w:p>
    <w:p w14:paraId="5B3BB81A" w14:textId="77777777"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1704"/>
        <w:gridCol w:w="712"/>
        <w:gridCol w:w="992"/>
        <w:gridCol w:w="1134"/>
        <w:gridCol w:w="426"/>
        <w:gridCol w:w="708"/>
        <w:gridCol w:w="1558"/>
      </w:tblGrid>
      <w:tr w:rsidR="00C42A27" w:rsidRPr="00C42A27" w14:paraId="5B3BB81D" w14:textId="7777777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1B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1C" w14:textId="77777777" w:rsidR="00C42A27" w:rsidRDefault="00196170" w:rsidP="00DF7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19617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="00DF7B6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nternational Consulting</w:t>
            </w:r>
          </w:p>
        </w:tc>
      </w:tr>
      <w:tr w:rsidR="00C42A27" w:rsidRPr="00196170" w14:paraId="5B3BB820" w14:textId="7777777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1E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BB81F" w14:textId="6A80594F" w:rsidR="00C42A27" w:rsidRPr="00774388" w:rsidRDefault="00832FA9" w:rsidP="00832F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="0029124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AGOLEGO</w:t>
            </w:r>
          </w:p>
        </w:tc>
      </w:tr>
      <w:tr w:rsidR="00C42A27" w:rsidRPr="00291243" w14:paraId="5B3BB823" w14:textId="7777777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21" w14:textId="77777777"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BB822" w14:textId="77777777" w:rsidR="00C42A27" w:rsidRDefault="00DF7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Elective</w:t>
            </w:r>
            <w:r w:rsidR="00117D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="00DC7F6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Course is </w:t>
            </w:r>
            <w:r w:rsidR="00117D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available to international students</w:t>
            </w:r>
          </w:p>
        </w:tc>
      </w:tr>
      <w:tr w:rsidR="00C42A27" w:rsidRPr="00117D20" w14:paraId="5B3BB826" w14:textId="77777777" w:rsidTr="006E2F0C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24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25" w14:textId="77777777" w:rsidR="00C42A27" w:rsidRDefault="00DF7B6C" w:rsidP="00822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C42A27" w:rsidRPr="00117D20" w14:paraId="5B3BB829" w14:textId="77777777" w:rsidTr="006E2F0C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27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28" w14:textId="679A4DF4" w:rsidR="00C42A27" w:rsidRDefault="00797D7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2A27" w14:paraId="5B3BB82E" w14:textId="77777777" w:rsidTr="00ED1DC8">
        <w:trPr>
          <w:trHeight w:val="217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2A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2B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B82C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B82D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14:paraId="5B3BB833" w14:textId="77777777" w:rsidTr="00ED1DC8">
        <w:trPr>
          <w:trHeight w:val="216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B82F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30" w14:textId="77777777" w:rsidR="00C42A27" w:rsidRDefault="00F05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831" w14:textId="77777777" w:rsidR="00C42A27" w:rsidRPr="00E72646" w:rsidRDefault="00F05E6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832" w14:textId="77777777" w:rsidR="00C42A27" w:rsidRPr="00E72646" w:rsidRDefault="0077438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</w:tr>
      <w:tr w:rsidR="00C42A27" w:rsidRPr="00291243" w14:paraId="5B3BB839" w14:textId="7777777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34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35" w14:textId="2E97189E" w:rsidR="00C2308D" w:rsidRDefault="00C2308D" w:rsidP="00E21B5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2308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goal of the course is to provide the student</w:t>
            </w:r>
            <w:r w:rsidR="0004700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C2308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with a set of theoretical and applied knowledge about the basics of consulting and the world practice of consulting services.</w:t>
            </w:r>
          </w:p>
          <w:p w14:paraId="5B3BB838" w14:textId="1C2D3D43" w:rsidR="00A13F1F" w:rsidRPr="00965196" w:rsidRDefault="00C47232" w:rsidP="0096519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472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overall objective of the course is to discuss and analyze international consulting and to develop the students' life skills in the field of consultants’ activities.</w:t>
            </w:r>
            <w:r w:rsid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472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course is designed to provide students with a set of theoretical and applied knowledge about the basics of consulting and the world practice of consulting services.</w:t>
            </w:r>
          </w:p>
        </w:tc>
      </w:tr>
      <w:tr w:rsidR="00C42A27" w:rsidRPr="00291243" w14:paraId="5B3BB84A" w14:textId="7777777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3A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3B" w14:textId="77777777" w:rsidR="009F5B68" w:rsidRPr="009F5B68" w:rsidRDefault="009F5B68" w:rsidP="00E21B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Upon the completion of the course the student is supposed to know:</w:t>
            </w:r>
          </w:p>
          <w:p w14:paraId="5B3BB83C" w14:textId="77777777" w:rsidR="009F5B68" w:rsidRPr="009F5B68" w:rsidRDefault="009F5B68" w:rsidP="009F5B68">
            <w:pPr>
              <w:pStyle w:val="a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the basic terms and principals of international consulting theory;</w:t>
            </w:r>
          </w:p>
          <w:p w14:paraId="5B3BB83D" w14:textId="77777777" w:rsidR="009F5B68" w:rsidRPr="009F5B68" w:rsidRDefault="009F5B68" w:rsidP="009F5B68">
            <w:pPr>
              <w:pStyle w:val="a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the main current trends and processes in international consulting;</w:t>
            </w:r>
          </w:p>
          <w:p w14:paraId="5B3BB83E" w14:textId="77777777" w:rsidR="009F5B68" w:rsidRPr="009F5B68" w:rsidRDefault="009F5B68" w:rsidP="009F5B68">
            <w:pPr>
              <w:pStyle w:val="a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the key legal and practical issues related to international consulting;</w:t>
            </w:r>
          </w:p>
          <w:p w14:paraId="5B3BB83F" w14:textId="77777777" w:rsidR="009F5B68" w:rsidRPr="009F5B68" w:rsidRDefault="009F5B68" w:rsidP="00E21B54">
            <w:pPr>
              <w:pStyle w:val="a0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be </w:t>
            </w:r>
            <w:r w:rsidR="00E21B54" w:rsidRPr="009F5B68">
              <w:rPr>
                <w:rFonts w:ascii="Times New Roman" w:hAnsi="Times New Roman"/>
                <w:sz w:val="24"/>
                <w:szCs w:val="24"/>
                <w:lang w:val="en-US"/>
              </w:rPr>
              <w:t>fami</w:t>
            </w:r>
            <w:r w:rsidR="00E21B54">
              <w:rPr>
                <w:rFonts w:ascii="Times New Roman" w:hAnsi="Times New Roman"/>
                <w:sz w:val="24"/>
                <w:szCs w:val="24"/>
                <w:lang w:val="en-US"/>
              </w:rPr>
              <w:t>liar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consulting methodology</w:t>
            </w:r>
          </w:p>
          <w:p w14:paraId="5B3BB840" w14:textId="77777777" w:rsidR="009F5B68" w:rsidRPr="009F5B68" w:rsidRDefault="009F5B68" w:rsidP="00E21B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Upon the completion of the course the student is supposed  </w:t>
            </w:r>
          </w:p>
          <w:p w14:paraId="5B3BB841" w14:textId="77777777" w:rsidR="009F5B68" w:rsidRPr="009F5B68" w:rsidRDefault="009F5B68" w:rsidP="009F5B68">
            <w:pPr>
              <w:pStyle w:val="a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to be able to apply consulting methodology on practice;</w:t>
            </w:r>
          </w:p>
          <w:p w14:paraId="5B3BB842" w14:textId="77777777" w:rsidR="009F5B68" w:rsidRPr="009F5B68" w:rsidRDefault="009F5B68" w:rsidP="009F5B68">
            <w:pPr>
              <w:pStyle w:val="a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to be able to analyze consulting services from different theoretical perspectives and critically access them in relation to the current global trends and challenges;</w:t>
            </w:r>
          </w:p>
          <w:p w14:paraId="5B3BB843" w14:textId="77777777" w:rsidR="009F5B68" w:rsidRDefault="009F5B68" w:rsidP="00E21B54">
            <w:pPr>
              <w:pStyle w:val="a0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to be able to apply ethical understanding and perspective to business situations</w:t>
            </w:r>
          </w:p>
          <w:p w14:paraId="5B3BB844" w14:textId="77777777" w:rsidR="00E21B54" w:rsidRPr="009F5B68" w:rsidRDefault="00E21B54" w:rsidP="00E21B54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B3BB845" w14:textId="77777777" w:rsidR="009F5B68" w:rsidRPr="009F5B68" w:rsidRDefault="009F5B68" w:rsidP="00E21B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Upon the completion of the course, the student is supposed to gain skills (experience):</w:t>
            </w:r>
          </w:p>
          <w:p w14:paraId="5B3BB846" w14:textId="1B1D0A10" w:rsidR="009F5B68" w:rsidRDefault="009F5B68" w:rsidP="009F5B68">
            <w:pPr>
              <w:pStyle w:val="a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effective communication skills to business situations;</w:t>
            </w:r>
          </w:p>
          <w:p w14:paraId="4417B824" w14:textId="6DDD8441" w:rsidR="0061464F" w:rsidRPr="009F5B68" w:rsidRDefault="0061464F" w:rsidP="009F5B68">
            <w:pPr>
              <w:pStyle w:val="a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critical thinking skills</w:t>
            </w:r>
            <w:r w:rsidR="00A528F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5B3BB847" w14:textId="77777777" w:rsidR="009F5B68" w:rsidRPr="009F5B68" w:rsidRDefault="009F5B68" w:rsidP="009F5B68">
            <w:pPr>
              <w:pStyle w:val="a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skills of independent research work;</w:t>
            </w:r>
          </w:p>
          <w:p w14:paraId="5B3BB848" w14:textId="77777777" w:rsidR="009F5B68" w:rsidRPr="009F5B68" w:rsidRDefault="009F5B68" w:rsidP="009F5B68">
            <w:pPr>
              <w:pStyle w:val="a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skills of teamwork;</w:t>
            </w:r>
          </w:p>
          <w:p w14:paraId="5B3BB849" w14:textId="77777777" w:rsidR="00C42A27" w:rsidRPr="009F5B68" w:rsidRDefault="009F5B68" w:rsidP="009F5B68">
            <w:pPr>
              <w:pStyle w:val="a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5B68">
              <w:rPr>
                <w:rFonts w:ascii="Times New Roman" w:hAnsi="Times New Roman"/>
                <w:sz w:val="24"/>
                <w:szCs w:val="24"/>
                <w:lang w:val="en-US"/>
              </w:rPr>
              <w:t>ncreased skills in English language, including writing skills and oral presentations.</w:t>
            </w:r>
          </w:p>
        </w:tc>
      </w:tr>
      <w:tr w:rsidR="00C42A27" w:rsidRPr="00482058" w14:paraId="5B3BB84F" w14:textId="77777777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4B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Teaching and Learning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Methods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4C" w14:textId="09D71742" w:rsidR="00E21B54" w:rsidRPr="00E21B54" w:rsidRDefault="00E21B54" w:rsidP="00E21B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The Course includes a traditional lecture-segment (</w:t>
            </w:r>
            <w:r w:rsidR="00EC71B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  <w:r w:rsidRP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academic hours) </w:t>
            </w:r>
            <w:r w:rsidRP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and a student activity-segment (</w:t>
            </w:r>
            <w:r w:rsidR="00EC71B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0 hours of tutorials). </w:t>
            </w:r>
          </w:p>
          <w:p w14:paraId="5B3BB84D" w14:textId="193A54B8" w:rsidR="00E21B54" w:rsidRPr="00E21B54" w:rsidRDefault="00E21B54" w:rsidP="00E21B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case studies will be used to illustrate key theoretical and practical aspects of international consulting. </w:t>
            </w:r>
          </w:p>
          <w:p w14:paraId="5B3BB84E" w14:textId="2AA5E750" w:rsidR="00C42A27" w:rsidRPr="005362A7" w:rsidRDefault="00111FE5" w:rsidP="007A70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="00E21B54" w:rsidRP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aster-classes from consulting industry representatives </w:t>
            </w:r>
            <w:r w:rsidR="007A700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will be</w:t>
            </w:r>
            <w:r w:rsidR="00E21B54" w:rsidRPr="00E21B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dedicated to particular consulting issues.</w:t>
            </w:r>
          </w:p>
        </w:tc>
      </w:tr>
      <w:tr w:rsidR="006E2F0C" w:rsidRPr="00291243" w14:paraId="5B3BB851" w14:textId="77777777" w:rsidTr="00BE33CE"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50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Content and Structure of the Course</w:t>
            </w:r>
          </w:p>
        </w:tc>
      </w:tr>
      <w:tr w:rsidR="006E2F0C" w:rsidRPr="006E2F0C" w14:paraId="5B3BB858" w14:textId="77777777" w:rsidTr="00C47752">
        <w:trPr>
          <w:trHeight w:val="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52" w14:textId="77777777"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3BB853" w14:textId="77777777"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Topic / Course Chapter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3BB854" w14:textId="77777777" w:rsidR="006E2F0C" w:rsidRPr="00C47752" w:rsidRDefault="006E2F0C" w:rsidP="003D390B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Total</w:t>
            </w:r>
          </w:p>
          <w:p w14:paraId="5B3BB855" w14:textId="77777777"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3BB856" w14:textId="77777777"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Directed Study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3BB857" w14:textId="77777777"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Self-directed Study</w:t>
            </w:r>
          </w:p>
        </w:tc>
      </w:tr>
      <w:tr w:rsidR="006E2F0C" w:rsidRPr="006E2F0C" w14:paraId="5B3BB85F" w14:textId="77777777" w:rsidTr="00C47752">
        <w:trPr>
          <w:trHeight w:val="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59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5A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5B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3BB85C" w14:textId="77777777"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Lectures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3BB85D" w14:textId="77777777"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Tutorials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5E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6E2F0C" w:rsidRPr="006E2F0C" w14:paraId="5B3BB866" w14:textId="77777777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60" w14:textId="77777777" w:rsidR="006E2F0C" w:rsidRDefault="00DC7F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61" w14:textId="11D9613C" w:rsidR="006E2F0C" w:rsidRPr="0085093D" w:rsidRDefault="0026546E" w:rsidP="008509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654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Innovative consulting: general definitions and main directions of development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62" w14:textId="77777777" w:rsidR="006E2F0C" w:rsidRDefault="00866BFA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63" w14:textId="77777777" w:rsidR="006E2F0C" w:rsidRDefault="00973BF3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64" w14:textId="77777777" w:rsidR="006E2F0C" w:rsidRDefault="006E2F0C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65" w14:textId="3F6F1C19" w:rsidR="006E2F0C" w:rsidRDefault="00EE7F0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E2F0C" w:rsidRPr="006E2F0C" w14:paraId="5B3BB86D" w14:textId="77777777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67" w14:textId="77777777" w:rsidR="006E2F0C" w:rsidRDefault="00DC7F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68" w14:textId="77777777" w:rsidR="006E2F0C" w:rsidRDefault="00FE65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E659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Consulting services: types and classification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69" w14:textId="77777777" w:rsidR="006E2F0C" w:rsidRDefault="00866BFA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6A" w14:textId="51E8F50F" w:rsidR="006E2F0C" w:rsidRDefault="00881774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6B" w14:textId="77777777" w:rsidR="006E2F0C" w:rsidRDefault="006E2F0C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6C" w14:textId="1E044230" w:rsidR="006E2F0C" w:rsidRDefault="00EE7F09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6546E" w:rsidRPr="00A71A87" w14:paraId="5B3BB874" w14:textId="77777777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6E" w14:textId="77777777" w:rsidR="0026546E" w:rsidRPr="00936764" w:rsidRDefault="0026546E" w:rsidP="002654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6F" w14:textId="08AB437F" w:rsidR="0026546E" w:rsidRPr="00936764" w:rsidRDefault="0026546E" w:rsidP="002654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E659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World consulting market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0" w14:textId="77777777" w:rsidR="0026546E" w:rsidRDefault="0026546E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1" w14:textId="48FE98E2" w:rsidR="0026546E" w:rsidRDefault="00881774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2" w14:textId="3965F871" w:rsidR="0026546E" w:rsidRDefault="006A546D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3" w14:textId="5C83E3F3" w:rsidR="0026546E" w:rsidRDefault="00EE7F09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6546E" w:rsidRPr="006E2F0C" w14:paraId="5B3BB87B" w14:textId="77777777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75" w14:textId="77777777" w:rsidR="0026546E" w:rsidRPr="00936764" w:rsidRDefault="0026546E" w:rsidP="002654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6" w14:textId="2D491EE7" w:rsidR="0026546E" w:rsidRPr="00A71A87" w:rsidRDefault="0026546E" w:rsidP="002654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6546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Consulting as a Profession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7" w14:textId="77777777" w:rsidR="0026546E" w:rsidRDefault="0026546E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8" w14:textId="77777777" w:rsidR="0026546E" w:rsidRDefault="0026546E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9" w14:textId="77777777" w:rsidR="0026546E" w:rsidRDefault="0026546E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A" w14:textId="2DF65FC2" w:rsidR="0026546E" w:rsidRDefault="00EE7F09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6546E" w:rsidRPr="00A71A87" w14:paraId="5B3BB882" w14:textId="77777777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7C" w14:textId="77777777" w:rsidR="0026546E" w:rsidRPr="00936764" w:rsidRDefault="0026546E" w:rsidP="002654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D" w14:textId="69334D7F" w:rsidR="0026546E" w:rsidRDefault="0026546E" w:rsidP="002654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Consulting Methodology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E" w14:textId="77777777" w:rsidR="0026546E" w:rsidRDefault="0026546E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7F" w14:textId="6D63E069" w:rsidR="0026546E" w:rsidRDefault="006A546D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80" w14:textId="338E79F5" w:rsidR="0026546E" w:rsidRDefault="00047747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81" w14:textId="1FA49F22" w:rsidR="0026546E" w:rsidRDefault="0037345F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26546E" w:rsidRPr="00A71A87" w14:paraId="5B3BB890" w14:textId="77777777" w:rsidTr="00C4775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8A" w14:textId="77777777" w:rsidR="0026546E" w:rsidRPr="00936764" w:rsidRDefault="0026546E" w:rsidP="002654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8B" w14:textId="5899609B" w:rsidR="0026546E" w:rsidRDefault="0026546E" w:rsidP="002654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International Consulting </w:t>
            </w:r>
            <w:r w:rsidRPr="009367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Case Studies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8C" w14:textId="77777777" w:rsidR="0026546E" w:rsidRDefault="0026546E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8D" w14:textId="23EF964E" w:rsidR="0026546E" w:rsidRDefault="0026546E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8E" w14:textId="77777777" w:rsidR="0026546E" w:rsidRDefault="0026546E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88F" w14:textId="77777777" w:rsidR="0026546E" w:rsidRDefault="0026546E" w:rsidP="002654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6E2F0C" w:rsidRPr="006E2F0C" w14:paraId="5B3BB89D" w14:textId="77777777" w:rsidTr="00B16748">
        <w:trPr>
          <w:trHeight w:val="45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98" w14:textId="77777777" w:rsidR="006E2F0C" w:rsidRPr="00C47752" w:rsidRDefault="00EB63A7" w:rsidP="00EB63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val="en-US"/>
              </w:rPr>
              <w:t>Total study</w:t>
            </w:r>
            <w:r w:rsidR="006E2F0C" w:rsidRPr="00C47752">
              <w:rPr>
                <w:rFonts w:ascii="Times New Roman" w:eastAsiaTheme="minorHAnsi" w:hAnsi="Times New Roman"/>
                <w:b/>
                <w:lang w:val="en-US"/>
              </w:rPr>
              <w:t xml:space="preserve"> hours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3BB899" w14:textId="77777777" w:rsidR="006E2F0C" w:rsidRDefault="00F05E65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3BB89A" w14:textId="77777777" w:rsidR="006E2F0C" w:rsidRPr="00F05E65" w:rsidRDefault="00F05E65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3BB89B" w14:textId="77777777" w:rsidR="006E2F0C" w:rsidRDefault="00F05E65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="00EB198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3BB89C" w14:textId="77777777" w:rsidR="006E2F0C" w:rsidRDefault="00F05E65" w:rsidP="00866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82</w:t>
            </w:r>
          </w:p>
        </w:tc>
      </w:tr>
      <w:tr w:rsidR="00C42A27" w:rsidRPr="00291243" w14:paraId="5B3BB8E1" w14:textId="77777777" w:rsidTr="00ED1DC8">
        <w:trPr>
          <w:trHeight w:val="55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3BB89E" w14:textId="77777777" w:rsidR="00C42A27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9F" w14:textId="3531ABE5" w:rsidR="00507402" w:rsidRDefault="00507402" w:rsidP="00507402">
            <w:p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Grading criteria for the </w:t>
            </w:r>
            <w:r w:rsidR="00A13F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team-based course consulting </w:t>
            </w:r>
            <w:r w:rsidR="00867B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project:</w:t>
            </w:r>
          </w:p>
          <w:p w14:paraId="5B3BB8A0" w14:textId="23FCD2DA" w:rsidR="00EB1987" w:rsidRDefault="00EB1987" w:rsidP="00EB1987">
            <w:pPr>
              <w:pStyle w:val="a0"/>
              <w:numPr>
                <w:ilvl w:val="0"/>
                <w:numId w:val="24"/>
              </w:num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B1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Appropriate layout:</w:t>
            </w:r>
            <w:r w:rsidRPr="00EB1987">
              <w:rPr>
                <w:lang w:val="en-US"/>
              </w:rPr>
              <w:t xml:space="preserve"> </w:t>
            </w:r>
            <w:r w:rsidR="008275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B1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ccuracy, compliance according the requirements, presence of referencing within the work, presence of graphic elements</w:t>
            </w:r>
          </w:p>
          <w:p w14:paraId="5B3BB8A1" w14:textId="77777777" w:rsidR="00EB1987" w:rsidRPr="00EB1987" w:rsidRDefault="00EB1987" w:rsidP="00EB1987">
            <w:pPr>
              <w:pStyle w:val="a0"/>
              <w:numPr>
                <w:ilvl w:val="0"/>
                <w:numId w:val="24"/>
              </w:num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B1987">
              <w:rPr>
                <w:rFonts w:ascii="Times New Roman" w:hAnsi="Times New Roman"/>
                <w:lang w:val="en-US"/>
              </w:rPr>
              <w:t>Quality of content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EB1987">
              <w:rPr>
                <w:lang w:val="en-US"/>
              </w:rPr>
              <w:t xml:space="preserve"> </w:t>
            </w:r>
            <w:r w:rsidRPr="00EB1987">
              <w:rPr>
                <w:rFonts w:ascii="Times New Roman" w:hAnsi="Times New Roman"/>
                <w:lang w:val="en-US"/>
              </w:rPr>
              <w:t>Essential Content (presence of data for the Case solution, relevant resources, reliable data</w:t>
            </w:r>
          </w:p>
          <w:p w14:paraId="5B3BB8A2" w14:textId="4D9C3A98" w:rsidR="00EB1987" w:rsidRPr="00EB1987" w:rsidRDefault="00EB1987" w:rsidP="004D2C96">
            <w:pPr>
              <w:pStyle w:val="a0"/>
              <w:numPr>
                <w:ilvl w:val="0"/>
                <w:numId w:val="24"/>
              </w:num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B1987">
              <w:rPr>
                <w:rFonts w:ascii="Times New Roman" w:hAnsi="Times New Roman"/>
                <w:lang w:val="en-US"/>
              </w:rPr>
              <w:t xml:space="preserve"> Quality of presentation:</w:t>
            </w:r>
            <w:r w:rsidRPr="00EB1987">
              <w:rPr>
                <w:lang w:val="en-US"/>
              </w:rPr>
              <w:t xml:space="preserve"> </w:t>
            </w:r>
            <w:r w:rsidRPr="00EB1987">
              <w:rPr>
                <w:rFonts w:ascii="Times New Roman" w:hAnsi="Times New Roman"/>
                <w:lang w:val="en-US"/>
              </w:rPr>
              <w:t>visualization (readability, layout, supportive, not distracting), arguments addressed</w:t>
            </w:r>
          </w:p>
          <w:p w14:paraId="5B3BB8A3" w14:textId="192B1614" w:rsidR="00EB1987" w:rsidRDefault="00EB1987" w:rsidP="00C674D4">
            <w:pPr>
              <w:pStyle w:val="a0"/>
              <w:numPr>
                <w:ilvl w:val="0"/>
                <w:numId w:val="24"/>
              </w:num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B19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Student’s contribution, originality</w:t>
            </w:r>
            <w:r w:rsidR="00C67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="004F24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C674D4" w:rsidRPr="00C67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ndividual student’s input, originality, findings</w:t>
            </w:r>
          </w:p>
          <w:p w14:paraId="5B3BB8A4" w14:textId="4116124A" w:rsidR="00507402" w:rsidRPr="00C674D4" w:rsidRDefault="00C674D4" w:rsidP="00C674D4">
            <w:pPr>
              <w:pStyle w:val="a0"/>
              <w:numPr>
                <w:ilvl w:val="0"/>
                <w:numId w:val="24"/>
              </w:num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67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Implementation schedule: </w:t>
            </w:r>
            <w:r w:rsidR="004F24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C674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he project should be submitted in time: for each day of delay - minus one point</w:t>
            </w:r>
          </w:p>
          <w:p w14:paraId="5B3BB8A5" w14:textId="77777777" w:rsidR="00507402" w:rsidRPr="00507402" w:rsidRDefault="00507402" w:rsidP="0050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Grading criteria for classroom </w:t>
            </w:r>
            <w:r w:rsidR="00D3410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activities’ </w:t>
            </w:r>
            <w:r w:rsidRPr="0050740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assessment:</w:t>
            </w:r>
          </w:p>
          <w:p w14:paraId="5B3BB8A6" w14:textId="77777777" w:rsidR="00507402" w:rsidRPr="00507402" w:rsidRDefault="00507402" w:rsidP="005074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Knowledge of the material</w:t>
            </w:r>
          </w:p>
          <w:p w14:paraId="5B3BB8A7" w14:textId="77777777" w:rsidR="00507402" w:rsidRPr="00507402" w:rsidRDefault="00507402" w:rsidP="005074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Ability to communicate the material</w:t>
            </w:r>
          </w:p>
          <w:p w14:paraId="5B3BB8A8" w14:textId="77777777" w:rsidR="00507402" w:rsidRPr="00507402" w:rsidRDefault="00507402" w:rsidP="005074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Ability to complement the answers</w:t>
            </w:r>
          </w:p>
          <w:p w14:paraId="5B3BB8A9" w14:textId="72E374D6" w:rsidR="00507402" w:rsidRDefault="00507402" w:rsidP="005074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Ability to ask important questions and to formulate the problem</w:t>
            </w:r>
          </w:p>
          <w:p w14:paraId="1B063725" w14:textId="77777777" w:rsidR="00B17457" w:rsidRPr="00507402" w:rsidRDefault="00B17457" w:rsidP="00B17457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B3BB8AA" w14:textId="77777777" w:rsidR="009F6BE7" w:rsidRPr="00507402" w:rsidRDefault="009F6BE7" w:rsidP="009F6BE7">
            <w:pPr>
              <w:spacing w:after="195" w:line="240" w:lineRule="auto"/>
              <w:ind w:right="1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074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Grading criteria for the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final written exam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35"/>
            </w:tblGrid>
            <w:tr w:rsidR="009F6BE7" w:rsidRPr="00291243" w14:paraId="5B3BB8AD" w14:textId="77777777" w:rsidTr="006F6135">
              <w:tc>
                <w:tcPr>
                  <w:tcW w:w="2830" w:type="dxa"/>
                  <w:hideMark/>
                </w:tcPr>
                <w:p w14:paraId="5B3BB8AB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507402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Number of right answers</w:t>
                  </w:r>
                </w:p>
              </w:tc>
              <w:tc>
                <w:tcPr>
                  <w:tcW w:w="2835" w:type="dxa"/>
                  <w:hideMark/>
                </w:tcPr>
                <w:p w14:paraId="5B3BB8AC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507402">
                    <w:rPr>
                      <w:rFonts w:ascii="Times New Roman" w:hAnsi="Times New Roman"/>
                      <w:bCs/>
                      <w:sz w:val="24"/>
                      <w:szCs w:val="24"/>
                      <w:lang w:val="en-US" w:eastAsia="ru-RU"/>
                    </w:rPr>
                    <w:t>Credited</w:t>
                  </w:r>
                </w:p>
              </w:tc>
            </w:tr>
            <w:tr w:rsidR="009F6BE7" w:rsidRPr="00291243" w14:paraId="5B3BB8B0" w14:textId="77777777" w:rsidTr="006F6135">
              <w:tc>
                <w:tcPr>
                  <w:tcW w:w="2830" w:type="dxa"/>
                  <w:hideMark/>
                </w:tcPr>
                <w:p w14:paraId="5B3BB8AE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36-40</w:t>
                  </w:r>
                </w:p>
              </w:tc>
              <w:tc>
                <w:tcPr>
                  <w:tcW w:w="2835" w:type="dxa"/>
                  <w:hideMark/>
                </w:tcPr>
                <w:p w14:paraId="5B3BB8AF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10</w:t>
                  </w:r>
                </w:p>
              </w:tc>
            </w:tr>
            <w:tr w:rsidR="009F6BE7" w:rsidRPr="00291243" w14:paraId="5B3BB8B3" w14:textId="77777777" w:rsidTr="006F6135">
              <w:tc>
                <w:tcPr>
                  <w:tcW w:w="2830" w:type="dxa"/>
                  <w:hideMark/>
                </w:tcPr>
                <w:p w14:paraId="5B3BB8B1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31-35</w:t>
                  </w:r>
                </w:p>
              </w:tc>
              <w:tc>
                <w:tcPr>
                  <w:tcW w:w="2835" w:type="dxa"/>
                  <w:hideMark/>
                </w:tcPr>
                <w:p w14:paraId="5B3BB8B2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9</w:t>
                  </w:r>
                </w:p>
              </w:tc>
            </w:tr>
            <w:tr w:rsidR="009F6BE7" w:rsidRPr="00291243" w14:paraId="5B3BB8B6" w14:textId="77777777" w:rsidTr="006F6135">
              <w:tc>
                <w:tcPr>
                  <w:tcW w:w="2830" w:type="dxa"/>
                  <w:hideMark/>
                </w:tcPr>
                <w:p w14:paraId="5B3BB8B4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60995">
                    <w:rPr>
                      <w:lang w:val="en-US"/>
                    </w:rPr>
                    <w:t>26-30</w:t>
                  </w:r>
                </w:p>
              </w:tc>
              <w:tc>
                <w:tcPr>
                  <w:tcW w:w="2835" w:type="dxa"/>
                  <w:hideMark/>
                </w:tcPr>
                <w:p w14:paraId="5B3BB8B5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8</w:t>
                  </w:r>
                </w:p>
              </w:tc>
            </w:tr>
            <w:tr w:rsidR="009F6BE7" w:rsidRPr="00291243" w14:paraId="5B3BB8B9" w14:textId="77777777" w:rsidTr="006F6135">
              <w:tc>
                <w:tcPr>
                  <w:tcW w:w="2830" w:type="dxa"/>
                  <w:hideMark/>
                </w:tcPr>
                <w:p w14:paraId="5B3BB8B7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21-25</w:t>
                  </w:r>
                </w:p>
              </w:tc>
              <w:tc>
                <w:tcPr>
                  <w:tcW w:w="2835" w:type="dxa"/>
                  <w:hideMark/>
                </w:tcPr>
                <w:p w14:paraId="5B3BB8B8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7</w:t>
                  </w:r>
                </w:p>
              </w:tc>
            </w:tr>
            <w:tr w:rsidR="009F6BE7" w:rsidRPr="00291243" w14:paraId="5B3BB8BC" w14:textId="77777777" w:rsidTr="006F6135">
              <w:tc>
                <w:tcPr>
                  <w:tcW w:w="2830" w:type="dxa"/>
                  <w:hideMark/>
                </w:tcPr>
                <w:p w14:paraId="5B3BB8BA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16-</w:t>
                  </w:r>
                  <w:r w:rsidRPr="00F60995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835" w:type="dxa"/>
                  <w:hideMark/>
                </w:tcPr>
                <w:p w14:paraId="5B3BB8BB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6</w:t>
                  </w:r>
                </w:p>
              </w:tc>
            </w:tr>
            <w:tr w:rsidR="009F6BE7" w:rsidRPr="00291243" w14:paraId="5B3BB8BF" w14:textId="77777777" w:rsidTr="006F6135">
              <w:tc>
                <w:tcPr>
                  <w:tcW w:w="2830" w:type="dxa"/>
                  <w:hideMark/>
                </w:tcPr>
                <w:p w14:paraId="5B3BB8BD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60995">
                    <w:rPr>
                      <w:lang w:val="en-US"/>
                    </w:rPr>
                    <w:t>11-15</w:t>
                  </w:r>
                </w:p>
              </w:tc>
              <w:tc>
                <w:tcPr>
                  <w:tcW w:w="2835" w:type="dxa"/>
                  <w:hideMark/>
                </w:tcPr>
                <w:p w14:paraId="5B3BB8BE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5</w:t>
                  </w:r>
                </w:p>
              </w:tc>
            </w:tr>
            <w:tr w:rsidR="009F6BE7" w:rsidRPr="00291243" w14:paraId="5B3BB8C2" w14:textId="77777777" w:rsidTr="006F6135">
              <w:tc>
                <w:tcPr>
                  <w:tcW w:w="2830" w:type="dxa"/>
                  <w:hideMark/>
                </w:tcPr>
                <w:p w14:paraId="5B3BB8C0" w14:textId="77777777" w:rsidR="009F6BE7" w:rsidRPr="00507402" w:rsidRDefault="00F60995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60995">
                    <w:rPr>
                      <w:lang w:val="en-US"/>
                    </w:rPr>
                    <w:lastRenderedPageBreak/>
                    <w:t>7</w:t>
                  </w:r>
                  <w:r w:rsidR="009F6BE7" w:rsidRPr="00F60995">
                    <w:rPr>
                      <w:lang w:val="en-US"/>
                    </w:rPr>
                    <w:t>-10</w:t>
                  </w:r>
                </w:p>
              </w:tc>
              <w:tc>
                <w:tcPr>
                  <w:tcW w:w="2835" w:type="dxa"/>
                  <w:hideMark/>
                </w:tcPr>
                <w:p w14:paraId="5B3BB8C1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07402">
                    <w:rPr>
                      <w:lang w:val="en-US"/>
                    </w:rPr>
                    <w:t>4</w:t>
                  </w:r>
                </w:p>
              </w:tc>
            </w:tr>
            <w:tr w:rsidR="009F6BE7" w:rsidRPr="00291243" w14:paraId="5B3BB8C5" w14:textId="77777777" w:rsidTr="006F6135">
              <w:tc>
                <w:tcPr>
                  <w:tcW w:w="2830" w:type="dxa"/>
                </w:tcPr>
                <w:p w14:paraId="5B3BB8C3" w14:textId="77777777" w:rsidR="009F6BE7" w:rsidRPr="00507402" w:rsidRDefault="00F60995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5-6</w:t>
                  </w:r>
                </w:p>
              </w:tc>
              <w:tc>
                <w:tcPr>
                  <w:tcW w:w="2835" w:type="dxa"/>
                </w:tcPr>
                <w:p w14:paraId="5B3BB8C4" w14:textId="77777777" w:rsidR="009F6BE7" w:rsidRPr="00507402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9F6BE7" w:rsidRPr="00291243" w14:paraId="5B3BB8C8" w14:textId="77777777" w:rsidTr="006F6135">
              <w:tc>
                <w:tcPr>
                  <w:tcW w:w="2830" w:type="dxa"/>
                </w:tcPr>
                <w:p w14:paraId="5B3BB8C6" w14:textId="77777777" w:rsidR="009F6BE7" w:rsidRPr="009F6BE7" w:rsidRDefault="00F60995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3-4</w:t>
                  </w:r>
                </w:p>
              </w:tc>
              <w:tc>
                <w:tcPr>
                  <w:tcW w:w="2835" w:type="dxa"/>
                </w:tcPr>
                <w:p w14:paraId="5B3BB8C7" w14:textId="77777777" w:rsidR="009F6BE7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9F6BE7" w:rsidRPr="00291243" w14:paraId="5B3BB8CB" w14:textId="77777777" w:rsidTr="006F6135">
              <w:tc>
                <w:tcPr>
                  <w:tcW w:w="2830" w:type="dxa"/>
                </w:tcPr>
                <w:p w14:paraId="5B3BB8C9" w14:textId="77777777" w:rsidR="009F6BE7" w:rsidRPr="009F6BE7" w:rsidRDefault="00F60995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1-2</w:t>
                  </w:r>
                </w:p>
              </w:tc>
              <w:tc>
                <w:tcPr>
                  <w:tcW w:w="2835" w:type="dxa"/>
                </w:tcPr>
                <w:p w14:paraId="5B3BB8CA" w14:textId="77777777" w:rsidR="009F6BE7" w:rsidRDefault="009F6BE7" w:rsidP="009F6BE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</w:tbl>
          <w:p w14:paraId="5B3BB8CC" w14:textId="77777777" w:rsidR="009746FD" w:rsidRPr="009746FD" w:rsidRDefault="009746FD" w:rsidP="009746F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746F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Course grading includes:</w:t>
            </w:r>
          </w:p>
          <w:p w14:paraId="5B3BB8CD" w14:textId="77777777" w:rsidR="009746FD" w:rsidRPr="00F60995" w:rsidRDefault="009746FD" w:rsidP="009746F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F6099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I. </w:t>
            </w:r>
            <w:r w:rsidR="00D3410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Accumulated Assessment</w:t>
            </w:r>
            <w:r w:rsidR="0077002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(6</w:t>
            </w:r>
            <w:r w:rsidRPr="00F6099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0%):  </w:t>
            </w:r>
          </w:p>
          <w:p w14:paraId="5B3BB8CE" w14:textId="77777777" w:rsidR="009746FD" w:rsidRPr="009746FD" w:rsidRDefault="00770028" w:rsidP="009746FD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Homework (team-based project)</w:t>
            </w:r>
            <w:r w:rsidR="009746FD"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(4</w:t>
            </w:r>
            <w:r w:rsidR="009746FD"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0%),</w:t>
            </w:r>
          </w:p>
          <w:p w14:paraId="5B3BB8CF" w14:textId="452E7E7C" w:rsidR="009746FD" w:rsidRDefault="001D1701" w:rsidP="001D1701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class activities</w:t>
            </w:r>
            <w:r w:rsidR="00642BA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(module 3)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 w:rsidR="009746FD"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including case analyses, teamwork, presentations, assignments, etc.</w:t>
            </w:r>
            <w:r w:rsidRPr="001D1701">
              <w:rPr>
                <w:lang w:val="en-US"/>
              </w:rPr>
              <w:t xml:space="preserve"> </w:t>
            </w:r>
            <w:r w:rsidR="00642BA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0%)</w:t>
            </w:r>
          </w:p>
          <w:p w14:paraId="23B73F87" w14:textId="77777777" w:rsidR="0062638F" w:rsidRDefault="0062638F" w:rsidP="001D1701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14:paraId="5B3BB8D1" w14:textId="1B74E0AD" w:rsidR="009746FD" w:rsidRDefault="00D34100" w:rsidP="009746F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О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accum</w:t>
            </w:r>
            <w:proofErr w:type="spellEnd"/>
            <w:r w:rsidR="0077002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. = 0,</w:t>
            </w:r>
            <w:r w:rsidR="00F06DC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="009746FD" w:rsidRPr="001D170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· </w:t>
            </w:r>
            <w:r w:rsidR="009746FD" w:rsidRPr="001D1701"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  <w:r w:rsidR="009746FD" w:rsidRPr="001D170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class</w:t>
            </w:r>
            <w:r w:rsidR="007D6A8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  <w:r w:rsidR="009746FD" w:rsidRPr="001D170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D52CF" w:rsidRPr="001D170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+</w:t>
            </w:r>
            <w:r w:rsidR="007D6A8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0,</w:t>
            </w:r>
            <w:r w:rsidR="00F06DC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="007D6A8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· О </w:t>
            </w:r>
            <w:r w:rsidR="000F67D2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course project</w:t>
            </w:r>
            <w:r w:rsidR="007D6A8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B3BB8D2" w14:textId="3399A8CC" w:rsidR="0061548C" w:rsidRPr="0061548C" w:rsidRDefault="00867B40" w:rsidP="0061548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During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</w:t>
            </w:r>
            <w:r w:rsidR="00E73D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implementation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students will </w:t>
            </w:r>
            <w:r w:rsid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fulfil home task - 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develop team-based 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consulting 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61548C" w:rsidRP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</w:t>
            </w:r>
          </w:p>
          <w:p w14:paraId="5B3BB8D3" w14:textId="77777777" w:rsidR="00D34100" w:rsidRDefault="00E25533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255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Grades should reflect student performance during the course implementation. Within the topics, grades shall be determined and recorded using forms of home assignment, teamwork, case study </w:t>
            </w:r>
            <w:r w:rsid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analyses</w:t>
            </w:r>
            <w:r w:rsidRPr="00E255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class participation</w:t>
            </w:r>
            <w:r w:rsid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course project</w:t>
            </w:r>
            <w:r w:rsidRPr="00E2553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final exam. Based on exceptional activity “beyond expectations” in the class, students could be rewarded with additional points.</w:t>
            </w:r>
          </w:p>
          <w:p w14:paraId="5B3BB8D4" w14:textId="77777777" w:rsidR="00E25533" w:rsidRPr="00E25533" w:rsidRDefault="00E25533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14:paraId="5B3BB8D5" w14:textId="77777777" w:rsidR="009746FD" w:rsidRPr="00F60995" w:rsidRDefault="00E72646" w:rsidP="009746F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II. Final assessment (4</w:t>
            </w:r>
            <w:r w:rsidR="009746FD" w:rsidRPr="00F6099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0%) - written examination</w:t>
            </w:r>
          </w:p>
          <w:p w14:paraId="5B3BB8D6" w14:textId="46CBCBFC" w:rsidR="009746FD" w:rsidRDefault="009746FD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Final exam will be conducted in the written form - </w:t>
            </w:r>
            <w:r w:rsidR="00DC7F68"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multiple-choice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test</w:t>
            </w:r>
            <w:r w:rsidR="00645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</w:t>
            </w:r>
            <w:r w:rsidR="008A3E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 </w:t>
            </w:r>
            <w:r w:rsidR="006457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case study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 The test is based upon the lectures</w:t>
            </w:r>
            <w:r w:rsidR="00F60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’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seminars</w:t>
            </w:r>
            <w:r w:rsidR="00F60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’ </w:t>
            </w:r>
            <w:r w:rsidR="00F60995" w:rsidRPr="00F60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material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 includes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ED52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40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questions with </w:t>
            </w:r>
            <w:r w:rsidR="00DC7F6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possible answers.  </w:t>
            </w:r>
          </w:p>
          <w:p w14:paraId="135D5618" w14:textId="77777777" w:rsidR="008A3E50" w:rsidRPr="009746FD" w:rsidRDefault="008A3E50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14:paraId="5B3BB8D7" w14:textId="77777777" w:rsidR="009746FD" w:rsidRPr="009746FD" w:rsidRDefault="00E72646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О final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=  0,4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·О exam + 0,</w:t>
            </w:r>
            <w:r w:rsidRPr="00A04A1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="00D3410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·О </w:t>
            </w:r>
            <w:proofErr w:type="spellStart"/>
            <w:r w:rsidR="00D3410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accum</w:t>
            </w:r>
            <w:proofErr w:type="spellEnd"/>
            <w:r w:rsidR="009746FD" w:rsidRPr="005512D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.</w:t>
            </w:r>
          </w:p>
          <w:p w14:paraId="5B3BB8D8" w14:textId="77777777" w:rsidR="009746FD" w:rsidRPr="000E2CAE" w:rsidRDefault="009746FD" w:rsidP="000E2CAE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Credited – 4-10 points (on 10 point scale)</w:t>
            </w:r>
          </w:p>
          <w:p w14:paraId="5B3BB8D9" w14:textId="77777777" w:rsidR="009746FD" w:rsidRPr="000E2CAE" w:rsidRDefault="009746FD" w:rsidP="000E2CAE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Failure – 0-3 points (on 10 point scale)</w:t>
            </w:r>
          </w:p>
          <w:p w14:paraId="5B3BB8DA" w14:textId="77777777" w:rsidR="009746FD" w:rsidRPr="009746FD" w:rsidRDefault="009746FD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14:paraId="5B3BB8DB" w14:textId="77777777" w:rsidR="009746FD" w:rsidRPr="009746FD" w:rsidRDefault="009746FD" w:rsidP="009746F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For final </w:t>
            </w:r>
            <w:r w:rsid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assessment</w:t>
            </w:r>
            <w:r w:rsidRPr="009746F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: </w:t>
            </w:r>
          </w:p>
          <w:p w14:paraId="5B3BB8DC" w14:textId="77777777" w:rsidR="009746FD" w:rsidRPr="000E2CAE" w:rsidRDefault="009746FD" w:rsidP="000E2CAE">
            <w:pPr>
              <w:pStyle w:val="a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Excellent – 8-10 points (on 10 point scale)</w:t>
            </w:r>
          </w:p>
          <w:p w14:paraId="5B3BB8DD" w14:textId="77777777" w:rsidR="009746FD" w:rsidRPr="000E2CAE" w:rsidRDefault="009746FD" w:rsidP="000E2CAE">
            <w:pPr>
              <w:pStyle w:val="a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Good – 6-7 points (on 10 point scale)</w:t>
            </w:r>
          </w:p>
          <w:p w14:paraId="5B3BB8DE" w14:textId="77777777" w:rsidR="009746FD" w:rsidRPr="000E2CAE" w:rsidRDefault="009746FD" w:rsidP="000E2CAE">
            <w:pPr>
              <w:pStyle w:val="a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E2CA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Satisfactory – 4-5 points (on 10 point scale)</w:t>
            </w:r>
          </w:p>
          <w:p w14:paraId="5B3BB8DF" w14:textId="77777777" w:rsidR="007F05DE" w:rsidRPr="00BC19E4" w:rsidRDefault="009746FD" w:rsidP="0033024F">
            <w:pPr>
              <w:pStyle w:val="a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C19E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Failure – 0-3 points (on 10 point scale)</w:t>
            </w:r>
          </w:p>
          <w:p w14:paraId="5B3BB8E0" w14:textId="460F0788" w:rsidR="007F05DE" w:rsidRPr="007F05DE" w:rsidRDefault="004C6AC3" w:rsidP="00E7264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C6AC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duration of the final test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is 6</w:t>
            </w:r>
            <w:r w:rsidRPr="004C6AC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 minutes</w:t>
            </w:r>
            <w:r w:rsid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(40 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multiple-choice </w:t>
            </w:r>
            <w:r w:rsidR="0061548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questions</w:t>
            </w:r>
            <w:r w:rsidR="008A3E5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a case study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  <w:r w:rsidRPr="004C6AC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 Students whose accumulated intermediate assessment is 8 – 10 points are not required to pass final exam. In this case, the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accumulated</w:t>
            </w:r>
            <w:r w:rsidRPr="004C6AC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grade (O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accum</w:t>
            </w:r>
            <w:proofErr w:type="spellEnd"/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 w:rsidRPr="004C6AC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 could be counted as the final grade (O final) upon the student’s decision</w:t>
            </w:r>
            <w:r w:rsidR="00770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  <w:r w:rsidR="00304FBC" w:rsidRPr="00304F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rounding method of examination and the resulting estimates: arithmetic.</w:t>
            </w:r>
          </w:p>
        </w:tc>
      </w:tr>
      <w:tr w:rsidR="00076E2F" w:rsidRPr="00E27E08" w14:paraId="5B3BB8F2" w14:textId="77777777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E2" w14:textId="77777777" w:rsidR="00076E2F" w:rsidRDefault="00076E2F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Readings / Indicative Learning Resources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E3" w14:textId="77777777" w:rsidR="00304FBC" w:rsidRDefault="00076E2F" w:rsidP="00BC19E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14:paraId="5B3BB8E4" w14:textId="77777777" w:rsidR="00C538BB" w:rsidRDefault="00C538BB" w:rsidP="003229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Block, Peter (2011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  <w:r w:rsidRPr="00C538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Flawless</w:t>
            </w:r>
            <w:proofErr w:type="gramEnd"/>
            <w:r w:rsidRPr="00C538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Consulting, Enhanced Edition : A Guide to Getting Your Expertise Used. San </w:t>
            </w:r>
            <w:proofErr w:type="gramStart"/>
            <w:r w:rsidRPr="00C538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Francisco :</w:t>
            </w:r>
            <w:proofErr w:type="gramEnd"/>
            <w:r w:rsidRPr="00C538B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Pfeiffer.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3rd Edition</w:t>
            </w:r>
          </w:p>
          <w:p w14:paraId="5B3BB8E5" w14:textId="77777777" w:rsidR="00C538BB" w:rsidRDefault="006B13F5" w:rsidP="00BC19E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9" w:history="1">
              <w:r w:rsidR="00C538BB" w:rsidRPr="008D08B9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http://proxylibrary.hse.ru:2099/toc.aspx?bookid=41041</w:t>
              </w:r>
            </w:hyperlink>
          </w:p>
          <w:p w14:paraId="5B3BB8E6" w14:textId="77777777" w:rsidR="00076E2F" w:rsidRDefault="00076E2F" w:rsidP="00BC19E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14:paraId="5B3BB8E7" w14:textId="77777777" w:rsidR="00916180" w:rsidRPr="0042047E" w:rsidRDefault="0042047E" w:rsidP="0042047E">
            <w:pPr>
              <w:pStyle w:val="a0"/>
              <w:numPr>
                <w:ilvl w:val="0"/>
                <w:numId w:val="20"/>
              </w:numPr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6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Hennequin</w:t>
            </w:r>
            <w:proofErr w:type="spellEnd"/>
            <w:r w:rsidRPr="00FE6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Emilie</w:t>
            </w:r>
            <w:r w:rsidRPr="004204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916180" w:rsidRPr="004204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 transition consultants’ perceived roles</w:t>
            </w:r>
            <w:r w:rsidRPr="004204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16180" w:rsidRPr="004204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Career Development International</w:t>
            </w:r>
            <w:r w:rsidR="00916180" w:rsidRPr="00420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Volume: 22 Issue 6 (2017) </w:t>
            </w:r>
          </w:p>
          <w:p w14:paraId="5B3BB8E8" w14:textId="77777777" w:rsidR="00916180" w:rsidRPr="00916180" w:rsidRDefault="00916180" w:rsidP="00916180">
            <w:pPr>
              <w:pStyle w:val="a0"/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8D08B9">
                <w:rPr>
                  <w:rStyle w:val="a8"/>
                  <w:lang w:val="en-US"/>
                </w:rPr>
                <w:t>http</w:t>
              </w:r>
              <w:r w:rsidRPr="00916180">
                <w:rPr>
                  <w:rStyle w:val="a8"/>
                  <w:lang w:val="en-US"/>
                </w:rPr>
                <w:t>://</w:t>
              </w:r>
              <w:r w:rsidRPr="008D08B9">
                <w:rPr>
                  <w:rStyle w:val="a8"/>
                  <w:lang w:val="en-US"/>
                </w:rPr>
                <w:t>proxylibrary</w:t>
              </w:r>
              <w:r w:rsidRPr="00916180">
                <w:rPr>
                  <w:rStyle w:val="a8"/>
                  <w:lang w:val="en-US"/>
                </w:rPr>
                <w:t>.</w:t>
              </w:r>
              <w:r w:rsidRPr="008D08B9">
                <w:rPr>
                  <w:rStyle w:val="a8"/>
                  <w:lang w:val="en-US"/>
                </w:rPr>
                <w:t>hse</w:t>
              </w:r>
              <w:r w:rsidRPr="00916180">
                <w:rPr>
                  <w:rStyle w:val="a8"/>
                  <w:lang w:val="en-US"/>
                </w:rPr>
                <w:t>.</w:t>
              </w:r>
              <w:r w:rsidRPr="008D08B9">
                <w:rPr>
                  <w:rStyle w:val="a8"/>
                  <w:lang w:val="en-US"/>
                </w:rPr>
                <w:t>ru</w:t>
              </w:r>
              <w:r w:rsidRPr="00916180">
                <w:rPr>
                  <w:rStyle w:val="a8"/>
                  <w:lang w:val="en-US"/>
                </w:rPr>
                <w:t>:2100/</w:t>
              </w:r>
              <w:r w:rsidRPr="008D08B9">
                <w:rPr>
                  <w:rStyle w:val="a8"/>
                  <w:lang w:val="en-US"/>
                </w:rPr>
                <w:t>doi</w:t>
              </w:r>
              <w:r w:rsidRPr="00916180">
                <w:rPr>
                  <w:rStyle w:val="a8"/>
                  <w:lang w:val="en-US"/>
                </w:rPr>
                <w:t>/</w:t>
              </w:r>
              <w:r w:rsidRPr="008D08B9">
                <w:rPr>
                  <w:rStyle w:val="a8"/>
                  <w:lang w:val="en-US"/>
                </w:rPr>
                <w:t>pdfplus</w:t>
              </w:r>
              <w:r w:rsidRPr="00916180">
                <w:rPr>
                  <w:rStyle w:val="a8"/>
                  <w:lang w:val="en-US"/>
                </w:rPr>
                <w:t>/10.1108/</w:t>
              </w:r>
              <w:r w:rsidRPr="008D08B9">
                <w:rPr>
                  <w:rStyle w:val="a8"/>
                  <w:lang w:val="en-US"/>
                </w:rPr>
                <w:t>CDI</w:t>
              </w:r>
              <w:r w:rsidRPr="00916180">
                <w:rPr>
                  <w:rStyle w:val="a8"/>
                  <w:lang w:val="en-US"/>
                </w:rPr>
                <w:t>-09-2016-0156</w:t>
              </w:r>
            </w:hyperlink>
            <w:r w:rsidRPr="00916180">
              <w:rPr>
                <w:lang w:val="en-US"/>
              </w:rPr>
              <w:t xml:space="preserve"> </w:t>
            </w:r>
          </w:p>
          <w:p w14:paraId="5B3BB8E9" w14:textId="77777777" w:rsidR="0042047E" w:rsidRPr="0042047E" w:rsidRDefault="0042047E" w:rsidP="0042047E">
            <w:pPr>
              <w:pStyle w:val="a0"/>
              <w:numPr>
                <w:ilvl w:val="0"/>
                <w:numId w:val="20"/>
              </w:numPr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Jack J. Philips, William D. Trotter and Patricia Pulliam Phillips </w:t>
            </w:r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(2015</w:t>
            </w:r>
            <w:proofErr w:type="gramStart"/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>)  Maximizing</w:t>
            </w:r>
            <w:proofErr w:type="gramEnd"/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Value of Consulting: A Guide for Inte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rnal and External Consultants. </w:t>
            </w:r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>John Wiley &amp; Sons</w:t>
            </w:r>
          </w:p>
          <w:p w14:paraId="5B3BB8EA" w14:textId="77777777" w:rsidR="0042047E" w:rsidRPr="0042047E" w:rsidRDefault="006B13F5" w:rsidP="0042047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42047E" w:rsidRPr="00F36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http://proxylibrary.hse.ru:2099/toc.aspx?bookid=82482</w:t>
              </w:r>
            </w:hyperlink>
          </w:p>
          <w:p w14:paraId="5B3BB8EB" w14:textId="77777777" w:rsidR="0042047E" w:rsidRPr="0042047E" w:rsidRDefault="0042047E" w:rsidP="0042047E">
            <w:pPr>
              <w:pStyle w:val="a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Dana Gaines Robinson, James C. Robinson, Jack J. Phillips, Patricia Pulliam Phillips and Dick </w:t>
            </w:r>
            <w:proofErr w:type="spellStart"/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>Handshaw</w:t>
            </w:r>
            <w:proofErr w:type="spellEnd"/>
            <w:r w:rsidRPr="00420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(2015). Performance Consulting: A Strategic Process to Improve, Measure, and Sustain Organizational Results, 3rd Edition. Berrett-Koehler Publishers</w:t>
            </w:r>
          </w:p>
          <w:p w14:paraId="5B3BB8EC" w14:textId="77777777" w:rsidR="0042047E" w:rsidRDefault="006B13F5" w:rsidP="0042047E">
            <w:pPr>
              <w:pStyle w:val="a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42047E" w:rsidRPr="00F36EC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http://proxylibrary.hse.ru:2099/toc.aspx?bookid=78489</w:t>
              </w:r>
            </w:hyperlink>
          </w:p>
          <w:p w14:paraId="5B3BB8ED" w14:textId="77777777" w:rsidR="00314D62" w:rsidRPr="00314D62" w:rsidRDefault="00314D62" w:rsidP="005315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314D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Dictionaries, Encyclopedias</w:t>
            </w:r>
          </w:p>
          <w:p w14:paraId="5B3BB8EE" w14:textId="77777777" w:rsidR="0053153B" w:rsidRPr="00314D62" w:rsidRDefault="0053153B" w:rsidP="00314D62">
            <w:pPr>
              <w:pStyle w:val="a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>A Dictionary of Business and Management (2009), edited by Law, Jonathan, 5th ed. Oxford University Press.</w:t>
            </w:r>
          </w:p>
          <w:p w14:paraId="5B3BB8EF" w14:textId="77777777" w:rsidR="0053153B" w:rsidRPr="00314D62" w:rsidRDefault="006B13F5" w:rsidP="00314D62">
            <w:pPr>
              <w:pStyle w:val="a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53153B" w:rsidRPr="00314D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http://proxylibrary.hse.ru:2346/view/10.1093/acref/9780199234899.001.0001/acref-9780199234899</w:t>
              </w:r>
            </w:hyperlink>
          </w:p>
          <w:p w14:paraId="5B3BB8F0" w14:textId="77777777" w:rsidR="0053153B" w:rsidRPr="00314D62" w:rsidRDefault="0053153B" w:rsidP="00314D62">
            <w:pPr>
              <w:pStyle w:val="a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>The Oxford Handbook of International Business (2009), edited by Alan M. Rugman, 2</w:t>
            </w:r>
            <w:r w:rsidRPr="00314D6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14D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ed. Oxford University Press. </w:t>
            </w:r>
            <w:hyperlink r:id="rId14" w:history="1">
              <w:r w:rsidRPr="00314D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http://proxylibrary.hse.ru:2258/view/10.1093/oxfordhb/9780199234257.001.0001/oxfordhb-9780199234257</w:t>
              </w:r>
            </w:hyperlink>
          </w:p>
          <w:p w14:paraId="5B3BB8F1" w14:textId="3A991BEF" w:rsidR="0053153B" w:rsidRPr="00237F3A" w:rsidRDefault="0053153B" w:rsidP="00237F3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076E2F" w:rsidRPr="00291243" w14:paraId="5B3BB8F7" w14:textId="77777777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F3" w14:textId="77777777" w:rsidR="00076E2F" w:rsidRDefault="00ED1D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Academic Support for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F4" w14:textId="77777777" w:rsidR="007F05DE" w:rsidRDefault="00ED1D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 is provided via LMS, where students can find: guidelines and recommendations for doing the course; guidelines and recommendations for self-study;</w:t>
            </w:r>
            <w:r w:rsidR="000F20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samples. Therefore, a</w:t>
            </w:r>
            <w:r w:rsidR="007F05DE" w:rsidRPr="007F05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ll students must be able to access this system.</w:t>
            </w:r>
          </w:p>
          <w:p w14:paraId="5B3BB8F5" w14:textId="77777777" w:rsidR="00847C73" w:rsidRDefault="00847C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47C7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Electronic resources of HSE – </w:t>
            </w:r>
            <w:hyperlink r:id="rId15" w:history="1">
              <w:r w:rsidRPr="00EF6883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http://library.spb.hse.ru/el_resources</w:t>
              </w:r>
            </w:hyperlink>
          </w:p>
          <w:p w14:paraId="5B3BB8F6" w14:textId="5669D6AE" w:rsidR="007F05DE" w:rsidRDefault="007F05DE" w:rsidP="007F05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F05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If necessary, it is recomm</w:t>
            </w:r>
            <w:r w:rsidR="000F20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ended to address the instructor through e-mail. The instructor</w:t>
            </w:r>
            <w:r w:rsidRPr="007F05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will respond to all emails within one</w:t>
            </w:r>
            <w:r w:rsidR="000F20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or two</w:t>
            </w:r>
            <w:r w:rsidRPr="007F05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working day</w:t>
            </w:r>
            <w:r w:rsidR="000F201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7F05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If the student does not receive a response within one</w:t>
            </w:r>
            <w:r w:rsidR="00C1716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or two</w:t>
            </w:r>
            <w:r w:rsidRPr="007F05D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working day, the instructor did not receive the email and the student is strongly advised to send email again.</w:t>
            </w:r>
          </w:p>
        </w:tc>
      </w:tr>
      <w:tr w:rsidR="00586663" w:rsidRPr="00291243" w14:paraId="5B3BB8FA" w14:textId="77777777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F8" w14:textId="77777777" w:rsidR="00586663" w:rsidRPr="00586663" w:rsidRDefault="005866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Facilities, Equipment and Software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F9" w14:textId="77777777" w:rsidR="00586663" w:rsidRDefault="00D341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D3410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Projector/screen/computer are required durin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 the lectures and the seminars</w:t>
            </w:r>
          </w:p>
        </w:tc>
      </w:tr>
      <w:tr w:rsidR="00076E2F" w:rsidRPr="00482058" w14:paraId="5B3BB8FD" w14:textId="77777777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FB" w14:textId="77777777" w:rsidR="00076E2F" w:rsidRDefault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BB8FC" w14:textId="77777777" w:rsidR="00076E2F" w:rsidRDefault="005512D8" w:rsidP="005512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Tatiana Yu.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Grishchenko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12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Assoc.Prof</w:t>
            </w:r>
            <w:proofErr w:type="spellEnd"/>
            <w:proofErr w:type="gramStart"/>
            <w:r w:rsidRPr="005512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5512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2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Cand.Sc</w:t>
            </w:r>
            <w:proofErr w:type="spellEnd"/>
            <w:r w:rsidRPr="005512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(Econ)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B3BB8FE" w14:textId="77777777" w:rsidR="007A2171" w:rsidRPr="005512D8" w:rsidRDefault="007A2171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7A2171" w:rsidRPr="005512D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77CB1" w14:textId="77777777" w:rsidR="006B13F5" w:rsidRDefault="006B13F5" w:rsidP="00B16748">
      <w:pPr>
        <w:spacing w:after="0" w:line="240" w:lineRule="auto"/>
      </w:pPr>
      <w:r>
        <w:separator/>
      </w:r>
    </w:p>
  </w:endnote>
  <w:endnote w:type="continuationSeparator" w:id="0">
    <w:p w14:paraId="0A479511" w14:textId="77777777" w:rsidR="006B13F5" w:rsidRDefault="006B13F5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27598" w14:textId="77777777" w:rsidR="006B13F5" w:rsidRDefault="006B13F5" w:rsidP="00B16748">
      <w:pPr>
        <w:spacing w:after="0" w:line="240" w:lineRule="auto"/>
      </w:pPr>
      <w:r>
        <w:separator/>
      </w:r>
    </w:p>
  </w:footnote>
  <w:footnote w:type="continuationSeparator" w:id="0">
    <w:p w14:paraId="2D0741AF" w14:textId="77777777" w:rsidR="006B13F5" w:rsidRDefault="006B13F5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A9E"/>
    <w:multiLevelType w:val="hybridMultilevel"/>
    <w:tmpl w:val="C226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4D09"/>
    <w:multiLevelType w:val="hybridMultilevel"/>
    <w:tmpl w:val="12EE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E1F"/>
    <w:multiLevelType w:val="hybridMultilevel"/>
    <w:tmpl w:val="A484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3C16"/>
    <w:multiLevelType w:val="hybridMultilevel"/>
    <w:tmpl w:val="B7FE3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7E59"/>
    <w:multiLevelType w:val="hybridMultilevel"/>
    <w:tmpl w:val="E6BE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860C2"/>
    <w:multiLevelType w:val="hybridMultilevel"/>
    <w:tmpl w:val="5C582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3A7"/>
    <w:multiLevelType w:val="hybridMultilevel"/>
    <w:tmpl w:val="318A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A88"/>
    <w:multiLevelType w:val="hybridMultilevel"/>
    <w:tmpl w:val="CEFA09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6D47"/>
    <w:multiLevelType w:val="hybridMultilevel"/>
    <w:tmpl w:val="5C50D2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670F31"/>
    <w:multiLevelType w:val="hybridMultilevel"/>
    <w:tmpl w:val="B784F004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C0AD8"/>
    <w:multiLevelType w:val="hybridMultilevel"/>
    <w:tmpl w:val="4B961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539B2"/>
    <w:multiLevelType w:val="hybridMultilevel"/>
    <w:tmpl w:val="34C60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022F"/>
    <w:multiLevelType w:val="hybridMultilevel"/>
    <w:tmpl w:val="CF5A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73570"/>
    <w:multiLevelType w:val="hybridMultilevel"/>
    <w:tmpl w:val="AB14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A454B"/>
    <w:multiLevelType w:val="hybridMultilevel"/>
    <w:tmpl w:val="00F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147F8"/>
    <w:multiLevelType w:val="hybridMultilevel"/>
    <w:tmpl w:val="7BE8E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49EF"/>
    <w:multiLevelType w:val="hybridMultilevel"/>
    <w:tmpl w:val="29865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7065"/>
    <w:multiLevelType w:val="hybridMultilevel"/>
    <w:tmpl w:val="2850F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17D54"/>
    <w:multiLevelType w:val="hybridMultilevel"/>
    <w:tmpl w:val="9B6625F0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008BD"/>
    <w:multiLevelType w:val="hybridMultilevel"/>
    <w:tmpl w:val="F7309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A2793"/>
    <w:multiLevelType w:val="hybridMultilevel"/>
    <w:tmpl w:val="2BF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4626D"/>
    <w:multiLevelType w:val="hybridMultilevel"/>
    <w:tmpl w:val="AD06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8933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72A12"/>
    <w:multiLevelType w:val="hybridMultilevel"/>
    <w:tmpl w:val="6D2A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17FAB"/>
    <w:multiLevelType w:val="hybridMultilevel"/>
    <w:tmpl w:val="2874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570D4"/>
    <w:multiLevelType w:val="hybridMultilevel"/>
    <w:tmpl w:val="7728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B1329"/>
    <w:multiLevelType w:val="hybridMultilevel"/>
    <w:tmpl w:val="85F6B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27">
    <w:nsid w:val="73FF4A20"/>
    <w:multiLevelType w:val="hybridMultilevel"/>
    <w:tmpl w:val="EC7C03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9"/>
  </w:num>
  <w:num w:numId="5">
    <w:abstractNumId w:val="18"/>
  </w:num>
  <w:num w:numId="6">
    <w:abstractNumId w:val="13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27"/>
  </w:num>
  <w:num w:numId="12">
    <w:abstractNumId w:val="2"/>
  </w:num>
  <w:num w:numId="13">
    <w:abstractNumId w:val="17"/>
  </w:num>
  <w:num w:numId="14">
    <w:abstractNumId w:val="3"/>
  </w:num>
  <w:num w:numId="15">
    <w:abstractNumId w:val="24"/>
  </w:num>
  <w:num w:numId="16">
    <w:abstractNumId w:val="1"/>
  </w:num>
  <w:num w:numId="17">
    <w:abstractNumId w:val="4"/>
  </w:num>
  <w:num w:numId="18">
    <w:abstractNumId w:val="10"/>
  </w:num>
  <w:num w:numId="19">
    <w:abstractNumId w:val="6"/>
  </w:num>
  <w:num w:numId="20">
    <w:abstractNumId w:val="20"/>
  </w:num>
  <w:num w:numId="21">
    <w:abstractNumId w:val="0"/>
  </w:num>
  <w:num w:numId="22">
    <w:abstractNumId w:val="23"/>
  </w:num>
  <w:num w:numId="23">
    <w:abstractNumId w:val="22"/>
  </w:num>
  <w:num w:numId="24">
    <w:abstractNumId w:val="8"/>
  </w:num>
  <w:num w:numId="25">
    <w:abstractNumId w:val="5"/>
  </w:num>
  <w:num w:numId="26">
    <w:abstractNumId w:val="19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07D13"/>
    <w:rsid w:val="00037779"/>
    <w:rsid w:val="00047005"/>
    <w:rsid w:val="00047747"/>
    <w:rsid w:val="000768EC"/>
    <w:rsid w:val="00076E2F"/>
    <w:rsid w:val="000D57CD"/>
    <w:rsid w:val="000E27E2"/>
    <w:rsid w:val="000E2CAE"/>
    <w:rsid w:val="000F2018"/>
    <w:rsid w:val="000F67D2"/>
    <w:rsid w:val="00111FE5"/>
    <w:rsid w:val="001163B8"/>
    <w:rsid w:val="00117D20"/>
    <w:rsid w:val="001269F5"/>
    <w:rsid w:val="00195454"/>
    <w:rsid w:val="00196170"/>
    <w:rsid w:val="00197DE4"/>
    <w:rsid w:val="001B0B67"/>
    <w:rsid w:val="001D1701"/>
    <w:rsid w:val="001D7FB5"/>
    <w:rsid w:val="002167D2"/>
    <w:rsid w:val="00237F3A"/>
    <w:rsid w:val="0026546E"/>
    <w:rsid w:val="00281019"/>
    <w:rsid w:val="00291243"/>
    <w:rsid w:val="002C1A1A"/>
    <w:rsid w:val="00304FBC"/>
    <w:rsid w:val="00314D62"/>
    <w:rsid w:val="00322939"/>
    <w:rsid w:val="0033665B"/>
    <w:rsid w:val="00340E37"/>
    <w:rsid w:val="00353F2A"/>
    <w:rsid w:val="00371412"/>
    <w:rsid w:val="0037345F"/>
    <w:rsid w:val="003967E9"/>
    <w:rsid w:val="003D2B98"/>
    <w:rsid w:val="003D390B"/>
    <w:rsid w:val="003F28B7"/>
    <w:rsid w:val="0042047E"/>
    <w:rsid w:val="004246D3"/>
    <w:rsid w:val="00426654"/>
    <w:rsid w:val="00482058"/>
    <w:rsid w:val="004B1D7A"/>
    <w:rsid w:val="004C6AC3"/>
    <w:rsid w:val="004F241D"/>
    <w:rsid w:val="00507402"/>
    <w:rsid w:val="0053153B"/>
    <w:rsid w:val="005362A7"/>
    <w:rsid w:val="005512D8"/>
    <w:rsid w:val="00553F6B"/>
    <w:rsid w:val="00554AD8"/>
    <w:rsid w:val="005552C7"/>
    <w:rsid w:val="005629F2"/>
    <w:rsid w:val="0057785A"/>
    <w:rsid w:val="00586024"/>
    <w:rsid w:val="00586663"/>
    <w:rsid w:val="005B2792"/>
    <w:rsid w:val="0061464F"/>
    <w:rsid w:val="0061548C"/>
    <w:rsid w:val="0062448C"/>
    <w:rsid w:val="0062638F"/>
    <w:rsid w:val="00642BA5"/>
    <w:rsid w:val="00645735"/>
    <w:rsid w:val="00677105"/>
    <w:rsid w:val="006A0D74"/>
    <w:rsid w:val="006A546D"/>
    <w:rsid w:val="006B13F5"/>
    <w:rsid w:val="006D406D"/>
    <w:rsid w:val="006E2F0C"/>
    <w:rsid w:val="006E3671"/>
    <w:rsid w:val="00712F48"/>
    <w:rsid w:val="007375D1"/>
    <w:rsid w:val="00770028"/>
    <w:rsid w:val="00774388"/>
    <w:rsid w:val="00786FF3"/>
    <w:rsid w:val="00790E93"/>
    <w:rsid w:val="00797D7E"/>
    <w:rsid w:val="007A2171"/>
    <w:rsid w:val="007A7009"/>
    <w:rsid w:val="007A7CDC"/>
    <w:rsid w:val="007D40E3"/>
    <w:rsid w:val="007D6A87"/>
    <w:rsid w:val="007F05DE"/>
    <w:rsid w:val="007F3922"/>
    <w:rsid w:val="00812BBF"/>
    <w:rsid w:val="008229BC"/>
    <w:rsid w:val="008275A9"/>
    <w:rsid w:val="00832FA9"/>
    <w:rsid w:val="00847C73"/>
    <w:rsid w:val="0085093D"/>
    <w:rsid w:val="00866BFA"/>
    <w:rsid w:val="00867198"/>
    <w:rsid w:val="00867B40"/>
    <w:rsid w:val="00881774"/>
    <w:rsid w:val="00885C77"/>
    <w:rsid w:val="00891577"/>
    <w:rsid w:val="008A3E50"/>
    <w:rsid w:val="00916180"/>
    <w:rsid w:val="00936764"/>
    <w:rsid w:val="00965196"/>
    <w:rsid w:val="00973BF3"/>
    <w:rsid w:val="009746FD"/>
    <w:rsid w:val="009E7BB5"/>
    <w:rsid w:val="009F5B68"/>
    <w:rsid w:val="009F6BE7"/>
    <w:rsid w:val="00A04A11"/>
    <w:rsid w:val="00A13F1F"/>
    <w:rsid w:val="00A32759"/>
    <w:rsid w:val="00A528F3"/>
    <w:rsid w:val="00A71A87"/>
    <w:rsid w:val="00AA4C8A"/>
    <w:rsid w:val="00B04F55"/>
    <w:rsid w:val="00B15888"/>
    <w:rsid w:val="00B16748"/>
    <w:rsid w:val="00B17457"/>
    <w:rsid w:val="00B67A8D"/>
    <w:rsid w:val="00B739EC"/>
    <w:rsid w:val="00B74F29"/>
    <w:rsid w:val="00BA03FA"/>
    <w:rsid w:val="00BA0F00"/>
    <w:rsid w:val="00BC19E4"/>
    <w:rsid w:val="00BC7549"/>
    <w:rsid w:val="00BD057B"/>
    <w:rsid w:val="00C17165"/>
    <w:rsid w:val="00C20721"/>
    <w:rsid w:val="00C2308D"/>
    <w:rsid w:val="00C42A27"/>
    <w:rsid w:val="00C47232"/>
    <w:rsid w:val="00C47752"/>
    <w:rsid w:val="00C538BB"/>
    <w:rsid w:val="00C674D4"/>
    <w:rsid w:val="00C82672"/>
    <w:rsid w:val="00CC0AF0"/>
    <w:rsid w:val="00D17385"/>
    <w:rsid w:val="00D34100"/>
    <w:rsid w:val="00D6042D"/>
    <w:rsid w:val="00D74BFE"/>
    <w:rsid w:val="00D85442"/>
    <w:rsid w:val="00DA24D6"/>
    <w:rsid w:val="00DB21A7"/>
    <w:rsid w:val="00DB57AC"/>
    <w:rsid w:val="00DC7F68"/>
    <w:rsid w:val="00DF7B6C"/>
    <w:rsid w:val="00E14085"/>
    <w:rsid w:val="00E141A9"/>
    <w:rsid w:val="00E21B54"/>
    <w:rsid w:val="00E25533"/>
    <w:rsid w:val="00E27E08"/>
    <w:rsid w:val="00E65DCD"/>
    <w:rsid w:val="00E66BE7"/>
    <w:rsid w:val="00E72646"/>
    <w:rsid w:val="00E73D88"/>
    <w:rsid w:val="00E76487"/>
    <w:rsid w:val="00EB1987"/>
    <w:rsid w:val="00EB63A7"/>
    <w:rsid w:val="00EC71BA"/>
    <w:rsid w:val="00ED1DC8"/>
    <w:rsid w:val="00ED34F0"/>
    <w:rsid w:val="00ED52CF"/>
    <w:rsid w:val="00EE7F09"/>
    <w:rsid w:val="00EF6589"/>
    <w:rsid w:val="00F00892"/>
    <w:rsid w:val="00F05E65"/>
    <w:rsid w:val="00F064BA"/>
    <w:rsid w:val="00F06DCE"/>
    <w:rsid w:val="00F23441"/>
    <w:rsid w:val="00F60995"/>
    <w:rsid w:val="00F6572F"/>
    <w:rsid w:val="00FC10F5"/>
    <w:rsid w:val="00FC7A84"/>
    <w:rsid w:val="00FE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B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C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character" w:styleId="a8">
    <w:name w:val="Hyperlink"/>
    <w:basedOn w:val="a1"/>
    <w:uiPriority w:val="99"/>
    <w:unhideWhenUsed/>
    <w:rsid w:val="007F05DE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7F05DE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7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C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character" w:styleId="a8">
    <w:name w:val="Hyperlink"/>
    <w:basedOn w:val="a1"/>
    <w:uiPriority w:val="99"/>
    <w:unhideWhenUsed/>
    <w:rsid w:val="007F05DE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7F05DE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7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xylibrary.hse.ru:2346/view/10.1093/acref/9780199234899.001.0001/acref-97801992348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xylibrary.hse.ru:2099/toc.aspx?bookid=784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xylibrary.hse.ru:2099/toc.aspx?bookid=824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y.spb.hse.ru/el_resources" TargetMode="External"/><Relationship Id="rId10" Type="http://schemas.openxmlformats.org/officeDocument/2006/relationships/hyperlink" Target="http://proxylibrary.hse.ru:2100/doi/pdfplus/10.1108/CDI-09-2016-01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xylibrary.hse.ru:2099/toc.aspx?bookid=41041" TargetMode="External"/><Relationship Id="rId14" Type="http://schemas.openxmlformats.org/officeDocument/2006/relationships/hyperlink" Target="http://proxylibrary.hse.ru:2258/view/10.1093/oxfordhb/9780199234257.001.0001/oxfordhb-978019923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6373-8B75-4DFD-BCFA-77BBE6AD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Гальченко Валерия Александровна</cp:lastModifiedBy>
  <cp:revision>2</cp:revision>
  <cp:lastPrinted>2016-12-26T08:05:00Z</cp:lastPrinted>
  <dcterms:created xsi:type="dcterms:W3CDTF">2019-05-29T13:31:00Z</dcterms:created>
  <dcterms:modified xsi:type="dcterms:W3CDTF">2019-05-29T13:31:00Z</dcterms:modified>
</cp:coreProperties>
</file>