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30" w:rsidRPr="000142FF" w:rsidRDefault="00A70430" w:rsidP="00A70430">
      <w:pPr>
        <w:spacing w:after="0" w:line="240" w:lineRule="auto"/>
        <w:jc w:val="center"/>
        <w:rPr>
          <w:rFonts w:ascii="Times New Roman" w:hAnsi="Times New Roman"/>
          <w:b/>
          <w:sz w:val="24"/>
          <w:szCs w:val="24"/>
          <w:lang w:val="en-US"/>
        </w:rPr>
      </w:pPr>
      <w:r w:rsidRPr="000142FF">
        <w:rPr>
          <w:rFonts w:ascii="Times New Roman" w:hAnsi="Times New Roman"/>
          <w:b/>
          <w:sz w:val="24"/>
          <w:szCs w:val="24"/>
          <w:lang w:val="en-US"/>
        </w:rPr>
        <w:t xml:space="preserve">Course </w:t>
      </w:r>
      <w:r>
        <w:rPr>
          <w:rFonts w:ascii="Times New Roman" w:hAnsi="Times New Roman"/>
          <w:b/>
          <w:sz w:val="24"/>
          <w:szCs w:val="24"/>
          <w:lang w:val="en-US"/>
        </w:rPr>
        <w:t>Descriptor</w:t>
      </w:r>
    </w:p>
    <w:p w:rsidR="00A70430" w:rsidRPr="000142FF" w:rsidRDefault="00A70430" w:rsidP="00A70430">
      <w:pPr>
        <w:spacing w:after="0" w:line="240" w:lineRule="auto"/>
        <w:jc w:val="center"/>
        <w:rPr>
          <w:rFonts w:ascii="Times New Roman" w:hAnsi="Times New Roman"/>
          <w:sz w:val="24"/>
          <w:szCs w:val="24"/>
          <w:lang w:val="en-US"/>
        </w:rPr>
      </w:pPr>
    </w:p>
    <w:tbl>
      <w:tblPr>
        <w:tblW w:w="935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121"/>
        <w:gridCol w:w="2416"/>
        <w:gridCol w:w="2552"/>
        <w:gridCol w:w="1842"/>
      </w:tblGrid>
      <w:tr w:rsidR="00A70430" w:rsidRPr="00C42A27" w:rsidTr="00FF53CA">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A70430" w:rsidRPr="000142FF" w:rsidRDefault="00A70430" w:rsidP="00FF53CA">
            <w:pPr>
              <w:spacing w:after="0" w:line="240" w:lineRule="auto"/>
              <w:rPr>
                <w:rFonts w:ascii="Times New Roman" w:hAnsi="Times New Roman"/>
                <w:sz w:val="24"/>
                <w:szCs w:val="24"/>
                <w:lang w:val="en-US"/>
              </w:rPr>
            </w:pPr>
            <w:r w:rsidRPr="000142FF">
              <w:rPr>
                <w:rFonts w:ascii="Times New Roman" w:hAnsi="Times New Roman"/>
                <w:sz w:val="24"/>
                <w:szCs w:val="24"/>
                <w:lang w:val="en-US"/>
              </w:rPr>
              <w:t>Title of the course</w:t>
            </w:r>
          </w:p>
        </w:tc>
        <w:tc>
          <w:tcPr>
            <w:tcW w:w="6810" w:type="dxa"/>
            <w:gridSpan w:val="3"/>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tcPr>
          <w:p w:rsidR="00A70430" w:rsidRDefault="00A70430" w:rsidP="00FF53CA">
            <w:pPr>
              <w:pStyle w:val="TableParagraph"/>
              <w:spacing w:before="51"/>
              <w:rPr>
                <w:b/>
                <w:sz w:val="24"/>
              </w:rPr>
            </w:pPr>
            <w:r>
              <w:rPr>
                <w:b/>
                <w:sz w:val="24"/>
              </w:rPr>
              <w:t>Macroeconomics I</w:t>
            </w:r>
          </w:p>
        </w:tc>
      </w:tr>
      <w:tr w:rsidR="00A70430" w:rsidRPr="000142FF" w:rsidTr="00FF53CA">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A70430" w:rsidRPr="000142FF" w:rsidRDefault="00A70430" w:rsidP="00FF53CA">
            <w:pPr>
              <w:spacing w:after="0" w:line="240" w:lineRule="auto"/>
              <w:rPr>
                <w:rFonts w:ascii="Times New Roman" w:hAnsi="Times New Roman"/>
                <w:sz w:val="24"/>
                <w:szCs w:val="24"/>
                <w:lang w:val="en-US"/>
              </w:rPr>
            </w:pPr>
            <w:r w:rsidRPr="000142FF">
              <w:rPr>
                <w:rFonts w:ascii="Times New Roman" w:hAnsi="Times New Roman"/>
                <w:sz w:val="24"/>
                <w:szCs w:val="24"/>
                <w:lang w:val="en-US"/>
              </w:rPr>
              <w:t xml:space="preserve">Title of the Academic </w:t>
            </w:r>
            <w:proofErr w:type="spellStart"/>
            <w:r w:rsidRPr="000142FF">
              <w:rPr>
                <w:rFonts w:ascii="Times New Roman" w:hAnsi="Times New Roman"/>
                <w:sz w:val="24"/>
                <w:szCs w:val="24"/>
                <w:lang w:val="en-US"/>
              </w:rPr>
              <w:t>Programme</w:t>
            </w:r>
            <w:proofErr w:type="spellEnd"/>
            <w:r w:rsidRPr="000142FF">
              <w:rPr>
                <w:rFonts w:ascii="Times New Roman" w:hAnsi="Times New Roman"/>
                <w:sz w:val="24"/>
                <w:szCs w:val="24"/>
                <w:lang w:val="en-US"/>
              </w:rPr>
              <w:t xml:space="preserve"> </w:t>
            </w:r>
          </w:p>
        </w:tc>
        <w:tc>
          <w:tcPr>
            <w:tcW w:w="6810" w:type="dxa"/>
            <w:gridSpan w:val="3"/>
            <w:tcBorders>
              <w:top w:val="single" w:sz="4" w:space="0" w:color="auto"/>
              <w:left w:val="single" w:sz="4" w:space="0" w:color="auto"/>
              <w:bottom w:val="single" w:sz="4" w:space="0" w:color="auto"/>
              <w:right w:val="single" w:sz="4" w:space="0" w:color="auto"/>
            </w:tcBorders>
            <w:shd w:val="clear" w:color="auto" w:fill="B6DDE8"/>
            <w:tcMar>
              <w:top w:w="57" w:type="dxa"/>
              <w:left w:w="57" w:type="dxa"/>
              <w:bottom w:w="57" w:type="dxa"/>
              <w:right w:w="57" w:type="dxa"/>
            </w:tcMar>
          </w:tcPr>
          <w:p w:rsidR="00A70430" w:rsidRDefault="00A70430" w:rsidP="00FF53CA">
            <w:pPr>
              <w:pStyle w:val="TableParagraph"/>
              <w:spacing w:before="54"/>
              <w:rPr>
                <w:sz w:val="24"/>
              </w:rPr>
            </w:pPr>
            <w:r>
              <w:rPr>
                <w:sz w:val="24"/>
              </w:rPr>
              <w:t>Masters in Economics (1st year), Masters in Finance (1</w:t>
            </w:r>
            <w:r>
              <w:rPr>
                <w:sz w:val="24"/>
                <w:vertAlign w:val="superscript"/>
              </w:rPr>
              <w:t>st</w:t>
            </w:r>
            <w:r>
              <w:rPr>
                <w:sz w:val="24"/>
              </w:rPr>
              <w:t xml:space="preserve"> year)</w:t>
            </w:r>
          </w:p>
        </w:tc>
      </w:tr>
      <w:tr w:rsidR="00A70430" w:rsidRPr="000142FF" w:rsidTr="00FF53CA">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A70430" w:rsidRPr="000142FF" w:rsidRDefault="00A70430" w:rsidP="00FF53CA">
            <w:pPr>
              <w:spacing w:after="0" w:line="240" w:lineRule="auto"/>
              <w:rPr>
                <w:rFonts w:ascii="Times New Roman" w:hAnsi="Times New Roman"/>
                <w:sz w:val="24"/>
                <w:szCs w:val="24"/>
                <w:lang w:val="en-US"/>
              </w:rPr>
            </w:pPr>
            <w:r w:rsidRPr="000142FF">
              <w:rPr>
                <w:rFonts w:ascii="Times New Roman" w:hAnsi="Times New Roman"/>
                <w:sz w:val="24"/>
                <w:szCs w:val="24"/>
                <w:lang w:val="en-US"/>
              </w:rPr>
              <w:t xml:space="preserve">Type of the course </w:t>
            </w:r>
          </w:p>
        </w:tc>
        <w:tc>
          <w:tcPr>
            <w:tcW w:w="6810" w:type="dxa"/>
            <w:gridSpan w:val="3"/>
            <w:tcBorders>
              <w:top w:val="single" w:sz="4" w:space="0" w:color="auto"/>
              <w:left w:val="single" w:sz="4" w:space="0" w:color="auto"/>
              <w:bottom w:val="single" w:sz="4" w:space="0" w:color="auto"/>
              <w:right w:val="single" w:sz="4" w:space="0" w:color="auto"/>
            </w:tcBorders>
            <w:shd w:val="clear" w:color="auto" w:fill="B6DDE8"/>
            <w:tcMar>
              <w:top w:w="57" w:type="dxa"/>
              <w:left w:w="57" w:type="dxa"/>
              <w:bottom w:w="57" w:type="dxa"/>
              <w:right w:w="57" w:type="dxa"/>
            </w:tcMar>
          </w:tcPr>
          <w:p w:rsidR="00A70430" w:rsidRDefault="00A70430" w:rsidP="00FF53CA">
            <w:pPr>
              <w:pStyle w:val="TableParagraph"/>
              <w:rPr>
                <w:sz w:val="24"/>
              </w:rPr>
            </w:pPr>
            <w:r>
              <w:rPr>
                <w:sz w:val="24"/>
              </w:rPr>
              <w:t>Mandatory; available to foreign students</w:t>
            </w:r>
          </w:p>
        </w:tc>
      </w:tr>
      <w:tr w:rsidR="00A70430" w:rsidRPr="000142FF" w:rsidTr="00FF53CA">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A70430" w:rsidRPr="000142FF" w:rsidRDefault="00A70430" w:rsidP="00FF53CA">
            <w:pPr>
              <w:spacing w:after="0" w:line="240" w:lineRule="auto"/>
              <w:rPr>
                <w:rFonts w:ascii="Times New Roman" w:hAnsi="Times New Roman"/>
                <w:sz w:val="24"/>
                <w:szCs w:val="24"/>
                <w:lang w:val="en-US"/>
              </w:rPr>
            </w:pPr>
            <w:r w:rsidRPr="000142FF">
              <w:rPr>
                <w:rFonts w:ascii="Times New Roman" w:hAnsi="Times New Roman"/>
                <w:sz w:val="24"/>
                <w:szCs w:val="24"/>
                <w:lang w:val="en-US"/>
              </w:rPr>
              <w:t>Prerequisites</w:t>
            </w:r>
          </w:p>
        </w:tc>
        <w:tc>
          <w:tcPr>
            <w:tcW w:w="6810" w:type="dxa"/>
            <w:gridSpan w:val="3"/>
            <w:tcBorders>
              <w:top w:val="single" w:sz="4" w:space="0" w:color="auto"/>
              <w:left w:val="single" w:sz="4" w:space="0" w:color="auto"/>
              <w:bottom w:val="single" w:sz="4" w:space="0" w:color="auto"/>
              <w:right w:val="single" w:sz="4" w:space="0" w:color="auto"/>
            </w:tcBorders>
            <w:shd w:val="clear" w:color="auto" w:fill="B6DDE8"/>
            <w:tcMar>
              <w:top w:w="57" w:type="dxa"/>
              <w:left w:w="57" w:type="dxa"/>
              <w:bottom w:w="57" w:type="dxa"/>
              <w:right w:w="57" w:type="dxa"/>
            </w:tcMar>
          </w:tcPr>
          <w:p w:rsidR="00A70430" w:rsidRDefault="00A70430" w:rsidP="00FF53CA">
            <w:pPr>
              <w:pStyle w:val="TableParagraph"/>
              <w:spacing w:before="47"/>
              <w:rPr>
                <w:sz w:val="24"/>
              </w:rPr>
            </w:pPr>
            <w:r>
              <w:rPr>
                <w:sz w:val="24"/>
              </w:rPr>
              <w:t>Mathematics for Economists, undergraduate-level Macroeconomics</w:t>
            </w:r>
          </w:p>
        </w:tc>
      </w:tr>
      <w:tr w:rsidR="00A70430" w:rsidRPr="00C42A27" w:rsidTr="00FF53CA">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A70430" w:rsidRPr="000142FF" w:rsidRDefault="00A70430" w:rsidP="00FF53CA">
            <w:pPr>
              <w:spacing w:after="0" w:line="240" w:lineRule="auto"/>
              <w:rPr>
                <w:rFonts w:ascii="Times New Roman" w:hAnsi="Times New Roman"/>
                <w:sz w:val="24"/>
                <w:szCs w:val="24"/>
                <w:lang w:val="en-US"/>
              </w:rPr>
            </w:pPr>
            <w:r w:rsidRPr="000142FF">
              <w:rPr>
                <w:rFonts w:ascii="Times New Roman" w:hAnsi="Times New Roman"/>
                <w:sz w:val="24"/>
                <w:szCs w:val="24"/>
                <w:lang w:val="en-US"/>
              </w:rPr>
              <w:t>ECTS workload</w:t>
            </w:r>
          </w:p>
        </w:tc>
        <w:tc>
          <w:tcPr>
            <w:tcW w:w="6810" w:type="dxa"/>
            <w:gridSpan w:val="3"/>
            <w:tcBorders>
              <w:top w:val="single" w:sz="4" w:space="0" w:color="auto"/>
              <w:left w:val="single" w:sz="4" w:space="0" w:color="auto"/>
              <w:bottom w:val="single" w:sz="4" w:space="0" w:color="auto"/>
              <w:right w:val="single" w:sz="4" w:space="0" w:color="auto"/>
            </w:tcBorders>
            <w:shd w:val="clear" w:color="auto" w:fill="B6DDE8"/>
            <w:tcMar>
              <w:top w:w="57" w:type="dxa"/>
              <w:left w:w="57" w:type="dxa"/>
              <w:bottom w:w="57" w:type="dxa"/>
              <w:right w:w="57" w:type="dxa"/>
            </w:tcMar>
          </w:tcPr>
          <w:p w:rsidR="00A70430" w:rsidRDefault="00A70430" w:rsidP="00FF53CA">
            <w:pPr>
              <w:pStyle w:val="TableParagraph"/>
              <w:rPr>
                <w:sz w:val="24"/>
              </w:rPr>
            </w:pPr>
            <w:r>
              <w:rPr>
                <w:sz w:val="24"/>
              </w:rPr>
              <w:t>6</w:t>
            </w:r>
          </w:p>
        </w:tc>
      </w:tr>
      <w:tr w:rsidR="00A70430" w:rsidTr="00FF53CA">
        <w:trPr>
          <w:trHeight w:val="217"/>
        </w:trPr>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A70430" w:rsidRPr="000142FF" w:rsidRDefault="00A70430" w:rsidP="00FF53CA">
            <w:pPr>
              <w:spacing w:after="0" w:line="240" w:lineRule="auto"/>
              <w:rPr>
                <w:rFonts w:ascii="Times New Roman" w:hAnsi="Times New Roman"/>
                <w:sz w:val="24"/>
                <w:szCs w:val="24"/>
                <w:lang w:val="en-US"/>
              </w:rPr>
            </w:pPr>
            <w:r w:rsidRPr="000142FF">
              <w:rPr>
                <w:rFonts w:ascii="Times New Roman" w:hAnsi="Times New Roman"/>
                <w:sz w:val="24"/>
                <w:szCs w:val="24"/>
                <w:lang w:val="en-US"/>
              </w:rPr>
              <w:t>Total indicative study hours</w:t>
            </w: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A70430" w:rsidRPr="000142FF" w:rsidRDefault="00A70430" w:rsidP="00FF53CA">
            <w:pPr>
              <w:spacing w:after="0" w:line="240" w:lineRule="auto"/>
              <w:rPr>
                <w:rFonts w:ascii="Times New Roman" w:hAnsi="Times New Roman"/>
                <w:sz w:val="24"/>
                <w:szCs w:val="24"/>
                <w:lang w:val="en-US"/>
              </w:rPr>
            </w:pPr>
            <w:r w:rsidRPr="000142FF">
              <w:rPr>
                <w:rFonts w:ascii="Times New Roman" w:hAnsi="Times New Roman"/>
                <w:sz w:val="24"/>
                <w:szCs w:val="24"/>
                <w:lang w:val="en-US"/>
              </w:rPr>
              <w:t>Directed Study</w:t>
            </w:r>
          </w:p>
        </w:tc>
        <w:tc>
          <w:tcPr>
            <w:tcW w:w="2552" w:type="dxa"/>
            <w:tcBorders>
              <w:top w:val="single" w:sz="4" w:space="0" w:color="auto"/>
              <w:left w:val="single" w:sz="4" w:space="0" w:color="auto"/>
              <w:bottom w:val="single" w:sz="4" w:space="0" w:color="auto"/>
              <w:right w:val="single" w:sz="4" w:space="0" w:color="auto"/>
            </w:tcBorders>
            <w:hideMark/>
          </w:tcPr>
          <w:p w:rsidR="00A70430" w:rsidRPr="000142FF" w:rsidRDefault="00A70430" w:rsidP="00FF53CA">
            <w:pPr>
              <w:spacing w:after="0" w:line="240" w:lineRule="auto"/>
              <w:rPr>
                <w:rFonts w:ascii="Times New Roman" w:hAnsi="Times New Roman"/>
                <w:sz w:val="24"/>
                <w:szCs w:val="24"/>
                <w:lang w:val="en-US"/>
              </w:rPr>
            </w:pPr>
            <w:r w:rsidRPr="000142FF">
              <w:rPr>
                <w:rFonts w:ascii="Times New Roman" w:hAnsi="Times New Roman"/>
                <w:sz w:val="24"/>
                <w:szCs w:val="24"/>
                <w:lang w:val="en-US"/>
              </w:rPr>
              <w:t xml:space="preserve">Self-directed study </w:t>
            </w:r>
          </w:p>
        </w:tc>
        <w:tc>
          <w:tcPr>
            <w:tcW w:w="1842" w:type="dxa"/>
            <w:tcBorders>
              <w:top w:val="single" w:sz="4" w:space="0" w:color="auto"/>
              <w:left w:val="single" w:sz="4" w:space="0" w:color="auto"/>
              <w:bottom w:val="single" w:sz="4" w:space="0" w:color="auto"/>
              <w:right w:val="single" w:sz="4" w:space="0" w:color="auto"/>
            </w:tcBorders>
            <w:hideMark/>
          </w:tcPr>
          <w:p w:rsidR="00A70430" w:rsidRPr="000142FF" w:rsidRDefault="00A70430" w:rsidP="00FF53CA">
            <w:pPr>
              <w:spacing w:after="0" w:line="240" w:lineRule="auto"/>
              <w:rPr>
                <w:rFonts w:ascii="Times New Roman" w:hAnsi="Times New Roman"/>
                <w:sz w:val="24"/>
                <w:szCs w:val="24"/>
                <w:lang w:val="en-US"/>
              </w:rPr>
            </w:pPr>
            <w:r w:rsidRPr="000142FF">
              <w:rPr>
                <w:rFonts w:ascii="Times New Roman" w:hAnsi="Times New Roman"/>
                <w:sz w:val="24"/>
                <w:szCs w:val="24"/>
                <w:lang w:val="en-US"/>
              </w:rPr>
              <w:t>Total</w:t>
            </w:r>
          </w:p>
        </w:tc>
      </w:tr>
      <w:tr w:rsidR="00A70430" w:rsidTr="00FF53CA">
        <w:trPr>
          <w:trHeight w:val="216"/>
        </w:trPr>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rsidR="00A70430" w:rsidRPr="000142FF" w:rsidRDefault="00A70430" w:rsidP="00FF53CA">
            <w:pPr>
              <w:spacing w:after="0" w:line="240" w:lineRule="auto"/>
              <w:rPr>
                <w:rFonts w:ascii="Times New Roman" w:hAnsi="Times New Roman"/>
                <w:sz w:val="24"/>
                <w:szCs w:val="24"/>
                <w:lang w:val="en-US"/>
              </w:rPr>
            </w:pPr>
          </w:p>
        </w:tc>
        <w:tc>
          <w:tcPr>
            <w:tcW w:w="24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70430" w:rsidRDefault="00A70430" w:rsidP="00FF53CA">
            <w:pPr>
              <w:pStyle w:val="TableParagraph"/>
              <w:spacing w:before="47"/>
              <w:rPr>
                <w:sz w:val="24"/>
              </w:rPr>
            </w:pPr>
            <w:r>
              <w:rPr>
                <w:sz w:val="24"/>
              </w:rPr>
              <w:t>52</w:t>
            </w:r>
          </w:p>
        </w:tc>
        <w:tc>
          <w:tcPr>
            <w:tcW w:w="2552" w:type="dxa"/>
            <w:tcBorders>
              <w:top w:val="single" w:sz="4" w:space="0" w:color="auto"/>
              <w:left w:val="single" w:sz="4" w:space="0" w:color="auto"/>
              <w:bottom w:val="single" w:sz="4" w:space="0" w:color="auto"/>
              <w:right w:val="single" w:sz="4" w:space="0" w:color="auto"/>
            </w:tcBorders>
          </w:tcPr>
          <w:p w:rsidR="00A70430" w:rsidRDefault="00A70430" w:rsidP="00FF53CA">
            <w:pPr>
              <w:pStyle w:val="TableParagraph"/>
              <w:spacing w:before="47"/>
              <w:ind w:left="105"/>
              <w:rPr>
                <w:sz w:val="24"/>
              </w:rPr>
            </w:pPr>
            <w:r>
              <w:rPr>
                <w:sz w:val="24"/>
              </w:rPr>
              <w:t>176</w:t>
            </w:r>
          </w:p>
        </w:tc>
        <w:tc>
          <w:tcPr>
            <w:tcW w:w="1842" w:type="dxa"/>
            <w:tcBorders>
              <w:top w:val="single" w:sz="4" w:space="0" w:color="auto"/>
              <w:left w:val="single" w:sz="4" w:space="0" w:color="auto"/>
              <w:bottom w:val="single" w:sz="4" w:space="0" w:color="auto"/>
              <w:right w:val="single" w:sz="4" w:space="0" w:color="auto"/>
            </w:tcBorders>
          </w:tcPr>
          <w:p w:rsidR="00A70430" w:rsidRDefault="00A70430" w:rsidP="00FF53CA">
            <w:pPr>
              <w:pStyle w:val="TableParagraph"/>
              <w:spacing w:before="47"/>
              <w:ind w:left="108"/>
              <w:rPr>
                <w:sz w:val="24"/>
              </w:rPr>
            </w:pPr>
            <w:r>
              <w:rPr>
                <w:sz w:val="24"/>
              </w:rPr>
              <w:t>228</w:t>
            </w:r>
          </w:p>
        </w:tc>
      </w:tr>
      <w:tr w:rsidR="00A70430" w:rsidRPr="000142FF" w:rsidTr="00FF53CA">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A70430" w:rsidRPr="000142FF" w:rsidRDefault="00A70430" w:rsidP="00FF53CA">
            <w:pPr>
              <w:spacing w:after="0" w:line="240" w:lineRule="auto"/>
              <w:rPr>
                <w:rFonts w:ascii="Times New Roman" w:hAnsi="Times New Roman"/>
                <w:sz w:val="24"/>
                <w:szCs w:val="24"/>
                <w:lang w:val="en-US"/>
              </w:rPr>
            </w:pPr>
            <w:r w:rsidRPr="000142FF">
              <w:rPr>
                <w:rFonts w:ascii="Times New Roman" w:hAnsi="Times New Roman"/>
                <w:sz w:val="24"/>
                <w:szCs w:val="24"/>
                <w:lang w:val="en-US"/>
              </w:rPr>
              <w:t>Course Overview</w:t>
            </w:r>
          </w:p>
        </w:tc>
        <w:tc>
          <w:tcPr>
            <w:tcW w:w="681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70430" w:rsidRDefault="00A70430" w:rsidP="00FF53CA">
            <w:pPr>
              <w:pStyle w:val="TableParagraph"/>
              <w:ind w:right="71" w:firstLine="708"/>
              <w:jc w:val="both"/>
              <w:rPr>
                <w:sz w:val="24"/>
              </w:rPr>
            </w:pPr>
            <w:r>
              <w:rPr>
                <w:color w:val="281F17"/>
                <w:sz w:val="24"/>
              </w:rPr>
              <w:t xml:space="preserve">Macroeconomics is the study of </w:t>
            </w:r>
            <w:r>
              <w:rPr>
                <w:i/>
                <w:color w:val="281F17"/>
                <w:sz w:val="24"/>
              </w:rPr>
              <w:t xml:space="preserve">economic growth </w:t>
            </w:r>
            <w:r>
              <w:rPr>
                <w:color w:val="281F17"/>
                <w:sz w:val="24"/>
              </w:rPr>
              <w:t xml:space="preserve">and </w:t>
            </w:r>
            <w:r>
              <w:rPr>
                <w:i/>
                <w:color w:val="281F17"/>
                <w:sz w:val="24"/>
              </w:rPr>
              <w:t>business cycles</w:t>
            </w:r>
            <w:r>
              <w:rPr>
                <w:color w:val="281F17"/>
                <w:sz w:val="24"/>
              </w:rPr>
              <w:t>. It aims to explain observed aggregate time series for economic variables like GDP, consumption, investment, prices and wages, and the rate of unemployment. In this course we will concentrate on the study of business cycles, or economic phenomena in the short run. Study of economic growth is mostly relegated to the Macroeconomics II course.</w:t>
            </w:r>
          </w:p>
          <w:p w:rsidR="00A70430" w:rsidRDefault="00A70430" w:rsidP="00FF53CA">
            <w:pPr>
              <w:pStyle w:val="TableParagraph"/>
              <w:spacing w:before="1"/>
              <w:ind w:right="153" w:firstLine="708"/>
              <w:jc w:val="both"/>
              <w:rPr>
                <w:sz w:val="24"/>
              </w:rPr>
            </w:pPr>
            <w:r>
              <w:rPr>
                <w:color w:val="281F17"/>
                <w:sz w:val="24"/>
              </w:rPr>
              <w:t xml:space="preserve">In the short run an economy experiences nominal rigidities (sticky prices and wages) and </w:t>
            </w:r>
            <w:proofErr w:type="spellStart"/>
            <w:r>
              <w:rPr>
                <w:color w:val="281F17"/>
                <w:sz w:val="24"/>
              </w:rPr>
              <w:t>expectational</w:t>
            </w:r>
            <w:proofErr w:type="spellEnd"/>
            <w:r>
              <w:rPr>
                <w:color w:val="281F17"/>
                <w:sz w:val="24"/>
              </w:rPr>
              <w:t xml:space="preserve"> errors (prices that are different from what was expected). Rigidities and expectations make </w:t>
            </w:r>
            <w:r>
              <w:rPr>
                <w:i/>
                <w:color w:val="281F17"/>
                <w:sz w:val="24"/>
              </w:rPr>
              <w:t xml:space="preserve">nominal </w:t>
            </w:r>
            <w:r>
              <w:rPr>
                <w:color w:val="281F17"/>
                <w:sz w:val="24"/>
              </w:rPr>
              <w:t xml:space="preserve">aggregate demand, which could fluctuate because of some shock, affect </w:t>
            </w:r>
            <w:r>
              <w:rPr>
                <w:i/>
                <w:color w:val="281F17"/>
                <w:sz w:val="24"/>
              </w:rPr>
              <w:t xml:space="preserve">real </w:t>
            </w:r>
            <w:r>
              <w:rPr>
                <w:color w:val="281F17"/>
                <w:sz w:val="24"/>
              </w:rPr>
              <w:t xml:space="preserve">economic activity such as output and unemployment. Therefore, it is necessary to engage in </w:t>
            </w:r>
            <w:r>
              <w:rPr>
                <w:i/>
                <w:color w:val="281F17"/>
                <w:sz w:val="24"/>
              </w:rPr>
              <w:t xml:space="preserve">aggregate demand management </w:t>
            </w:r>
            <w:r>
              <w:rPr>
                <w:color w:val="281F17"/>
                <w:sz w:val="24"/>
              </w:rPr>
              <w:t xml:space="preserve">in order to </w:t>
            </w:r>
            <w:r>
              <w:rPr>
                <w:i/>
                <w:color w:val="281F17"/>
                <w:sz w:val="24"/>
              </w:rPr>
              <w:t xml:space="preserve">stabilize </w:t>
            </w:r>
            <w:r>
              <w:rPr>
                <w:color w:val="281F17"/>
                <w:sz w:val="24"/>
              </w:rPr>
              <w:t xml:space="preserve">the economy. We will study such </w:t>
            </w:r>
            <w:r>
              <w:rPr>
                <w:i/>
                <w:color w:val="281F17"/>
                <w:sz w:val="24"/>
              </w:rPr>
              <w:t xml:space="preserve">stabilization policies </w:t>
            </w:r>
            <w:r>
              <w:rPr>
                <w:color w:val="281F17"/>
                <w:sz w:val="24"/>
              </w:rPr>
              <w:t xml:space="preserve">(mostly </w:t>
            </w:r>
            <w:r>
              <w:rPr>
                <w:i/>
                <w:color w:val="281F17"/>
                <w:sz w:val="24"/>
              </w:rPr>
              <w:t xml:space="preserve">fiscal </w:t>
            </w:r>
            <w:r>
              <w:rPr>
                <w:color w:val="281F17"/>
                <w:sz w:val="24"/>
              </w:rPr>
              <w:t xml:space="preserve">and </w:t>
            </w:r>
            <w:r>
              <w:rPr>
                <w:i/>
                <w:color w:val="281F17"/>
                <w:sz w:val="24"/>
              </w:rPr>
              <w:t>monetary</w:t>
            </w:r>
            <w:r>
              <w:rPr>
                <w:color w:val="281F17"/>
                <w:sz w:val="24"/>
              </w:rPr>
              <w:t>) and the most efficient ways of performing them.</w:t>
            </w:r>
          </w:p>
          <w:p w:rsidR="00A70430" w:rsidRPr="000142FF" w:rsidRDefault="00A70430" w:rsidP="00FF53CA">
            <w:pPr>
              <w:spacing w:after="0"/>
              <w:ind w:firstLine="661"/>
              <w:jc w:val="both"/>
              <w:rPr>
                <w:rFonts w:ascii="Times New Roman" w:hAnsi="Times New Roman"/>
                <w:sz w:val="24"/>
                <w:szCs w:val="24"/>
                <w:lang w:val="en-US"/>
              </w:rPr>
            </w:pPr>
            <w:r w:rsidRPr="00C03935">
              <w:rPr>
                <w:rFonts w:ascii="Times New Roman" w:eastAsia="Times New Roman" w:hAnsi="Times New Roman"/>
                <w:color w:val="281F17"/>
                <w:sz w:val="24"/>
                <w:lang w:val="en-US" w:bidi="en-US"/>
              </w:rPr>
              <w:t xml:space="preserve"> The global financial and economic crisis of 2008–2011 and slow recovery from it is a topic that will concern us throughout the course. We will attempt to look at it from a macroeconomist’s point of view and evaluate different economic policies enacted around the world. We will dive into the world of macroeconomic data and the economic blogosphere, which debates current events.</w:t>
            </w:r>
          </w:p>
        </w:tc>
      </w:tr>
      <w:tr w:rsidR="00A70430" w:rsidRPr="000142FF" w:rsidTr="00FF53CA">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A70430" w:rsidRPr="000142FF" w:rsidRDefault="00A70430" w:rsidP="00FF53CA">
            <w:pPr>
              <w:spacing w:after="0" w:line="240" w:lineRule="auto"/>
              <w:rPr>
                <w:rFonts w:ascii="Times New Roman" w:hAnsi="Times New Roman"/>
                <w:sz w:val="24"/>
                <w:szCs w:val="24"/>
                <w:lang w:val="en-US"/>
              </w:rPr>
            </w:pPr>
            <w:r w:rsidRPr="000142FF">
              <w:rPr>
                <w:rFonts w:ascii="Times New Roman" w:hAnsi="Times New Roman"/>
                <w:sz w:val="24"/>
                <w:szCs w:val="24"/>
                <w:lang w:val="en-US"/>
              </w:rPr>
              <w:t>Intended Learning Outcomes (ILO)</w:t>
            </w:r>
          </w:p>
        </w:tc>
        <w:tc>
          <w:tcPr>
            <w:tcW w:w="681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70430" w:rsidRDefault="00A70430" w:rsidP="00FF53CA">
            <w:pPr>
              <w:pStyle w:val="TableParagraph"/>
              <w:rPr>
                <w:sz w:val="24"/>
              </w:rPr>
            </w:pPr>
            <w:r>
              <w:rPr>
                <w:sz w:val="24"/>
              </w:rPr>
              <w:t>Understand the main mechanisms operating in the economy</w:t>
            </w:r>
          </w:p>
          <w:p w:rsidR="00A70430" w:rsidRDefault="00A70430" w:rsidP="00FF53CA">
            <w:pPr>
              <w:pStyle w:val="TableParagraph"/>
              <w:spacing w:before="0"/>
              <w:jc w:val="both"/>
              <w:rPr>
                <w:sz w:val="24"/>
              </w:rPr>
            </w:pPr>
            <w:r>
              <w:rPr>
                <w:sz w:val="24"/>
              </w:rPr>
              <w:t>Know the basic building blocks of short-run macroeconomic theory</w:t>
            </w:r>
          </w:p>
          <w:p w:rsidR="00A70430" w:rsidRDefault="00A70430" w:rsidP="00FF53CA">
            <w:pPr>
              <w:pStyle w:val="TableParagraph"/>
              <w:spacing w:before="0"/>
              <w:jc w:val="both"/>
              <w:rPr>
                <w:sz w:val="24"/>
              </w:rPr>
            </w:pPr>
            <w:r>
              <w:rPr>
                <w:sz w:val="24"/>
              </w:rPr>
              <w:t>Be able to describe the process of the economy’s adjustment towards equilibrium after a shock</w:t>
            </w:r>
          </w:p>
          <w:p w:rsidR="00A70430" w:rsidRDefault="00A70430" w:rsidP="00FF53CA">
            <w:pPr>
              <w:pStyle w:val="TableParagraph"/>
              <w:spacing w:before="0"/>
              <w:jc w:val="both"/>
              <w:rPr>
                <w:sz w:val="24"/>
              </w:rPr>
            </w:pPr>
            <w:r>
              <w:rPr>
                <w:sz w:val="24"/>
              </w:rPr>
              <w:t>Have an understanding of the monetary policy conducted under Taylor Rule</w:t>
            </w:r>
          </w:p>
          <w:p w:rsidR="00A70430" w:rsidRDefault="00A70430" w:rsidP="00FF53CA">
            <w:pPr>
              <w:pStyle w:val="TableParagraph"/>
              <w:spacing w:before="3" w:line="276" w:lineRule="auto"/>
              <w:jc w:val="both"/>
              <w:rPr>
                <w:sz w:val="24"/>
              </w:rPr>
            </w:pPr>
            <w:r>
              <w:rPr>
                <w:sz w:val="24"/>
              </w:rPr>
              <w:t>Be able to derive consumption and investment functions in simple settings, as well as understand the concept of the optimal monetary policy</w:t>
            </w:r>
          </w:p>
          <w:p w:rsidR="00A70430" w:rsidRPr="000142FF" w:rsidRDefault="00A70430" w:rsidP="00FF53CA">
            <w:pPr>
              <w:spacing w:after="0" w:line="240" w:lineRule="auto"/>
              <w:jc w:val="both"/>
              <w:rPr>
                <w:rFonts w:ascii="Times New Roman" w:hAnsi="Times New Roman"/>
                <w:sz w:val="24"/>
                <w:szCs w:val="24"/>
                <w:lang w:val="en-US"/>
              </w:rPr>
            </w:pPr>
            <w:r w:rsidRPr="00C03935">
              <w:rPr>
                <w:rFonts w:ascii="Times New Roman" w:eastAsia="Times New Roman" w:hAnsi="Times New Roman"/>
                <w:sz w:val="24"/>
                <w:lang w:val="en-US" w:bidi="en-US"/>
              </w:rPr>
              <w:t>Understand the need for stabilization policy, and the methods it is conducted by the government (fiscal policy) and the Central Bank (monetary policy)</w:t>
            </w:r>
          </w:p>
        </w:tc>
      </w:tr>
      <w:tr w:rsidR="00A70430" w:rsidRPr="000142FF" w:rsidTr="00FF53CA">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A70430" w:rsidRPr="000142FF" w:rsidRDefault="00A70430" w:rsidP="00FF53CA">
            <w:pPr>
              <w:spacing w:after="0" w:line="240" w:lineRule="auto"/>
              <w:rPr>
                <w:rFonts w:ascii="Times New Roman" w:hAnsi="Times New Roman"/>
                <w:sz w:val="24"/>
                <w:szCs w:val="24"/>
                <w:lang w:val="en-US"/>
              </w:rPr>
            </w:pPr>
            <w:r w:rsidRPr="000142FF">
              <w:rPr>
                <w:rFonts w:ascii="Times New Roman" w:hAnsi="Times New Roman"/>
                <w:sz w:val="24"/>
                <w:szCs w:val="24"/>
                <w:lang w:val="en-US"/>
              </w:rPr>
              <w:t xml:space="preserve">Teaching and Learning </w:t>
            </w:r>
            <w:r w:rsidRPr="000142FF">
              <w:rPr>
                <w:rFonts w:ascii="Times New Roman" w:hAnsi="Times New Roman"/>
                <w:sz w:val="24"/>
                <w:szCs w:val="24"/>
                <w:lang w:val="en-US"/>
              </w:rPr>
              <w:lastRenderedPageBreak/>
              <w:t>Methods</w:t>
            </w:r>
          </w:p>
        </w:tc>
        <w:tc>
          <w:tcPr>
            <w:tcW w:w="681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A70430" w:rsidRPr="00C03935" w:rsidRDefault="00A70430" w:rsidP="00FF53CA">
            <w:pPr>
              <w:pStyle w:val="TableParagraph"/>
              <w:spacing w:before="43"/>
              <w:ind w:left="0" w:right="113"/>
              <w:rPr>
                <w:sz w:val="24"/>
              </w:rPr>
            </w:pPr>
            <w:r>
              <w:rPr>
                <w:sz w:val="24"/>
              </w:rPr>
              <w:lastRenderedPageBreak/>
              <w:t xml:space="preserve">The course consists of lectures (24 hours) and tutorials (28 hours). </w:t>
            </w:r>
            <w:r>
              <w:rPr>
                <w:sz w:val="24"/>
              </w:rPr>
              <w:lastRenderedPageBreak/>
              <w:t>The tutorials involve solving problems and discussing real-time macroeconomic issues using terms and concepts studied in class.</w:t>
            </w:r>
          </w:p>
        </w:tc>
      </w:tr>
      <w:tr w:rsidR="00A70430" w:rsidRPr="000142FF" w:rsidTr="00FF53CA">
        <w:tc>
          <w:tcPr>
            <w:tcW w:w="9356" w:type="dxa"/>
            <w:gridSpan w:val="5"/>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A70430" w:rsidRPr="000142FF" w:rsidRDefault="00A70430" w:rsidP="00FF53CA">
            <w:pPr>
              <w:spacing w:after="0" w:line="240" w:lineRule="auto"/>
              <w:rPr>
                <w:rFonts w:ascii="Times New Roman" w:hAnsi="Times New Roman"/>
                <w:sz w:val="24"/>
                <w:szCs w:val="24"/>
                <w:lang w:val="en-US"/>
              </w:rPr>
            </w:pPr>
            <w:r w:rsidRPr="000142FF">
              <w:rPr>
                <w:rFonts w:ascii="Times New Roman" w:hAnsi="Times New Roman"/>
                <w:sz w:val="24"/>
                <w:szCs w:val="24"/>
                <w:lang w:val="en-US"/>
              </w:rPr>
              <w:lastRenderedPageBreak/>
              <w:t>Content and Structure of the Course</w:t>
            </w:r>
          </w:p>
        </w:tc>
      </w:tr>
      <w:tr w:rsidR="00A70430" w:rsidRPr="006E2F0C" w:rsidTr="00FF53CA">
        <w:trPr>
          <w:trHeight w:val="276"/>
        </w:trPr>
        <w:tc>
          <w:tcPr>
            <w:tcW w:w="425" w:type="dxa"/>
            <w:vMerge w:val="restart"/>
            <w:tcBorders>
              <w:top w:val="single" w:sz="4" w:space="0" w:color="auto"/>
              <w:left w:val="single" w:sz="4" w:space="0" w:color="auto"/>
              <w:right w:val="single" w:sz="4" w:space="0" w:color="auto"/>
            </w:tcBorders>
            <w:shd w:val="clear" w:color="auto" w:fill="DAEEF3"/>
            <w:tcMar>
              <w:top w:w="57" w:type="dxa"/>
              <w:left w:w="57" w:type="dxa"/>
              <w:bottom w:w="57" w:type="dxa"/>
              <w:right w:w="57" w:type="dxa"/>
            </w:tcMar>
          </w:tcPr>
          <w:p w:rsidR="00A70430" w:rsidRPr="000142FF" w:rsidRDefault="00A70430" w:rsidP="00FF53CA">
            <w:pPr>
              <w:spacing w:after="0" w:line="240" w:lineRule="auto"/>
              <w:rPr>
                <w:rFonts w:ascii="Times New Roman" w:hAnsi="Times New Roman"/>
                <w:b/>
                <w:sz w:val="24"/>
                <w:szCs w:val="24"/>
                <w:lang w:val="en-US"/>
              </w:rPr>
            </w:pPr>
            <w:r w:rsidRPr="00C47752">
              <w:rPr>
                <w:rFonts w:ascii="Times New Roman" w:hAnsi="Times New Roman"/>
                <w:b/>
              </w:rPr>
              <w:t>№</w:t>
            </w:r>
          </w:p>
        </w:tc>
        <w:tc>
          <w:tcPr>
            <w:tcW w:w="8931" w:type="dxa"/>
            <w:gridSpan w:val="4"/>
            <w:vMerge w:val="restart"/>
            <w:tcBorders>
              <w:top w:val="single" w:sz="4" w:space="0" w:color="auto"/>
              <w:left w:val="single" w:sz="4" w:space="0" w:color="auto"/>
              <w:right w:val="single" w:sz="4" w:space="0" w:color="auto"/>
            </w:tcBorders>
            <w:shd w:val="clear" w:color="auto" w:fill="DAEEF3"/>
          </w:tcPr>
          <w:p w:rsidR="00A70430" w:rsidRPr="000142FF" w:rsidRDefault="00A70430" w:rsidP="00FF53CA">
            <w:pPr>
              <w:spacing w:after="0" w:line="240" w:lineRule="auto"/>
              <w:jc w:val="center"/>
              <w:rPr>
                <w:rFonts w:ascii="Times New Roman" w:hAnsi="Times New Roman"/>
                <w:b/>
                <w:sz w:val="24"/>
                <w:szCs w:val="24"/>
                <w:lang w:val="en-US"/>
              </w:rPr>
            </w:pPr>
            <w:r w:rsidRPr="000142FF">
              <w:rPr>
                <w:rFonts w:ascii="Times New Roman" w:hAnsi="Times New Roman"/>
                <w:b/>
                <w:lang w:val="en-US"/>
              </w:rPr>
              <w:t>Topic / Course Chapter</w:t>
            </w:r>
          </w:p>
        </w:tc>
      </w:tr>
      <w:tr w:rsidR="00A70430" w:rsidRPr="006E2F0C" w:rsidTr="00FF53CA">
        <w:trPr>
          <w:trHeight w:val="276"/>
        </w:trPr>
        <w:tc>
          <w:tcPr>
            <w:tcW w:w="42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70430" w:rsidRPr="000142FF" w:rsidRDefault="00A70430" w:rsidP="00FF53CA">
            <w:pPr>
              <w:spacing w:after="0" w:line="240" w:lineRule="auto"/>
              <w:rPr>
                <w:rFonts w:ascii="Times New Roman" w:hAnsi="Times New Roman"/>
                <w:sz w:val="24"/>
                <w:szCs w:val="24"/>
                <w:lang w:val="en-US"/>
              </w:rPr>
            </w:pPr>
          </w:p>
        </w:tc>
        <w:tc>
          <w:tcPr>
            <w:tcW w:w="8931" w:type="dxa"/>
            <w:gridSpan w:val="4"/>
            <w:vMerge/>
            <w:tcBorders>
              <w:left w:val="single" w:sz="4" w:space="0" w:color="auto"/>
              <w:bottom w:val="single" w:sz="4" w:space="0" w:color="auto"/>
              <w:right w:val="single" w:sz="4" w:space="0" w:color="auto"/>
            </w:tcBorders>
            <w:shd w:val="clear" w:color="auto" w:fill="auto"/>
          </w:tcPr>
          <w:p w:rsidR="00A70430" w:rsidRPr="000142FF" w:rsidRDefault="00A70430" w:rsidP="00FF53CA">
            <w:pPr>
              <w:spacing w:after="0" w:line="240" w:lineRule="auto"/>
              <w:rPr>
                <w:rFonts w:ascii="Times New Roman" w:hAnsi="Times New Roman"/>
                <w:sz w:val="24"/>
                <w:szCs w:val="24"/>
                <w:lang w:val="en-US"/>
              </w:rPr>
            </w:pPr>
          </w:p>
        </w:tc>
      </w:tr>
      <w:tr w:rsidR="00A70430" w:rsidRPr="00A70430" w:rsidTr="00FF53CA">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70430" w:rsidRPr="000142FF" w:rsidRDefault="00A70430" w:rsidP="00FF53CA">
            <w:pPr>
              <w:spacing w:after="0" w:line="240" w:lineRule="auto"/>
              <w:jc w:val="center"/>
              <w:rPr>
                <w:rFonts w:ascii="Times New Roman" w:hAnsi="Times New Roman"/>
                <w:sz w:val="24"/>
                <w:szCs w:val="24"/>
              </w:rPr>
            </w:pPr>
            <w:r w:rsidRPr="000142FF">
              <w:rPr>
                <w:rFonts w:ascii="Times New Roman" w:hAnsi="Times New Roman"/>
                <w:sz w:val="24"/>
                <w:szCs w:val="24"/>
              </w:rPr>
              <w:t>1</w:t>
            </w:r>
          </w:p>
        </w:tc>
        <w:tc>
          <w:tcPr>
            <w:tcW w:w="8931" w:type="dxa"/>
            <w:gridSpan w:val="4"/>
            <w:tcBorders>
              <w:top w:val="single" w:sz="4" w:space="0" w:color="auto"/>
              <w:left w:val="single" w:sz="4" w:space="0" w:color="auto"/>
              <w:bottom w:val="single" w:sz="4" w:space="0" w:color="auto"/>
              <w:right w:val="single" w:sz="4" w:space="0" w:color="auto"/>
            </w:tcBorders>
            <w:shd w:val="clear" w:color="auto" w:fill="auto"/>
          </w:tcPr>
          <w:p w:rsidR="00A70430" w:rsidRPr="002C19FE" w:rsidRDefault="00A70430" w:rsidP="00FF53CA">
            <w:pPr>
              <w:pStyle w:val="TableParagraph"/>
              <w:tabs>
                <w:tab w:val="left" w:pos="1136"/>
              </w:tabs>
              <w:spacing w:before="51"/>
              <w:rPr>
                <w:sz w:val="24"/>
              </w:rPr>
            </w:pPr>
            <w:r w:rsidRPr="002C19FE">
              <w:rPr>
                <w:sz w:val="24"/>
              </w:rPr>
              <w:t>What is macroeconomics? Macro for short and long</w:t>
            </w:r>
            <w:r w:rsidRPr="002C19FE">
              <w:rPr>
                <w:spacing w:val="-5"/>
                <w:sz w:val="24"/>
              </w:rPr>
              <w:t xml:space="preserve"> </w:t>
            </w:r>
            <w:r w:rsidRPr="002C19FE">
              <w:rPr>
                <w:sz w:val="24"/>
              </w:rPr>
              <w:t>run.</w:t>
            </w:r>
          </w:p>
        </w:tc>
      </w:tr>
      <w:tr w:rsidR="00A70430" w:rsidRPr="006E2F0C" w:rsidTr="00FF53CA">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70430" w:rsidRPr="000142FF" w:rsidRDefault="00A70430" w:rsidP="00FF53CA">
            <w:pPr>
              <w:spacing w:after="0" w:line="240" w:lineRule="auto"/>
              <w:jc w:val="center"/>
              <w:rPr>
                <w:rFonts w:ascii="Times New Roman" w:hAnsi="Times New Roman"/>
                <w:sz w:val="24"/>
                <w:szCs w:val="24"/>
              </w:rPr>
            </w:pPr>
            <w:r w:rsidRPr="000142FF">
              <w:rPr>
                <w:rFonts w:ascii="Times New Roman" w:hAnsi="Times New Roman"/>
                <w:sz w:val="24"/>
                <w:szCs w:val="24"/>
              </w:rPr>
              <w:t>2</w:t>
            </w:r>
          </w:p>
        </w:tc>
        <w:tc>
          <w:tcPr>
            <w:tcW w:w="8931" w:type="dxa"/>
            <w:gridSpan w:val="4"/>
            <w:tcBorders>
              <w:top w:val="single" w:sz="4" w:space="0" w:color="auto"/>
              <w:left w:val="single" w:sz="4" w:space="0" w:color="auto"/>
              <w:bottom w:val="single" w:sz="4" w:space="0" w:color="auto"/>
              <w:right w:val="single" w:sz="4" w:space="0" w:color="auto"/>
            </w:tcBorders>
            <w:shd w:val="clear" w:color="auto" w:fill="auto"/>
          </w:tcPr>
          <w:p w:rsidR="00A70430" w:rsidRPr="002C19FE" w:rsidRDefault="00A70430" w:rsidP="00FF53CA">
            <w:pPr>
              <w:pStyle w:val="TableParagraph"/>
              <w:tabs>
                <w:tab w:val="left" w:pos="1136"/>
              </w:tabs>
              <w:spacing w:before="140"/>
              <w:rPr>
                <w:sz w:val="24"/>
              </w:rPr>
            </w:pPr>
            <w:r w:rsidRPr="002C19FE">
              <w:rPr>
                <w:sz w:val="24"/>
              </w:rPr>
              <w:t>Business cycles</w:t>
            </w:r>
            <w:r w:rsidRPr="002C19FE">
              <w:rPr>
                <w:spacing w:val="-1"/>
                <w:sz w:val="24"/>
              </w:rPr>
              <w:t xml:space="preserve"> </w:t>
            </w:r>
            <w:r w:rsidRPr="002C19FE">
              <w:rPr>
                <w:sz w:val="24"/>
              </w:rPr>
              <w:t>facts.</w:t>
            </w:r>
          </w:p>
        </w:tc>
      </w:tr>
      <w:tr w:rsidR="00A70430" w:rsidRPr="00A70430" w:rsidTr="00FF53CA">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70430" w:rsidRPr="000142FF" w:rsidRDefault="00A70430" w:rsidP="00FF53CA">
            <w:pPr>
              <w:spacing w:after="0" w:line="240" w:lineRule="auto"/>
              <w:jc w:val="center"/>
              <w:rPr>
                <w:rFonts w:ascii="Times New Roman" w:hAnsi="Times New Roman"/>
                <w:sz w:val="24"/>
                <w:szCs w:val="24"/>
              </w:rPr>
            </w:pPr>
            <w:r w:rsidRPr="000142FF">
              <w:rPr>
                <w:rFonts w:ascii="Times New Roman" w:hAnsi="Times New Roman"/>
                <w:sz w:val="24"/>
                <w:szCs w:val="24"/>
              </w:rPr>
              <w:t>3</w:t>
            </w:r>
          </w:p>
        </w:tc>
        <w:tc>
          <w:tcPr>
            <w:tcW w:w="8931" w:type="dxa"/>
            <w:gridSpan w:val="4"/>
            <w:tcBorders>
              <w:top w:val="single" w:sz="4" w:space="0" w:color="auto"/>
              <w:left w:val="single" w:sz="4" w:space="0" w:color="auto"/>
              <w:bottom w:val="single" w:sz="4" w:space="0" w:color="auto"/>
              <w:right w:val="single" w:sz="4" w:space="0" w:color="auto"/>
            </w:tcBorders>
            <w:shd w:val="clear" w:color="auto" w:fill="auto"/>
          </w:tcPr>
          <w:p w:rsidR="00A70430" w:rsidRPr="00C03935" w:rsidRDefault="00A70430" w:rsidP="00FF53CA">
            <w:pPr>
              <w:pStyle w:val="TableParagraph"/>
              <w:tabs>
                <w:tab w:val="left" w:pos="1136"/>
              </w:tabs>
              <w:spacing w:before="136"/>
              <w:rPr>
                <w:sz w:val="24"/>
              </w:rPr>
            </w:pPr>
            <w:r>
              <w:rPr>
                <w:sz w:val="24"/>
              </w:rPr>
              <w:t>Short run model of the economy: building</w:t>
            </w:r>
            <w:r>
              <w:rPr>
                <w:spacing w:val="-5"/>
                <w:sz w:val="24"/>
              </w:rPr>
              <w:t xml:space="preserve"> </w:t>
            </w:r>
            <w:r>
              <w:rPr>
                <w:sz w:val="24"/>
              </w:rPr>
              <w:t>blocks.</w:t>
            </w:r>
          </w:p>
        </w:tc>
      </w:tr>
      <w:tr w:rsidR="00A70430" w:rsidRPr="00A70430" w:rsidTr="00FF53CA">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70430" w:rsidRPr="000142FF" w:rsidRDefault="00A70430" w:rsidP="00FF53CA">
            <w:pPr>
              <w:spacing w:after="0" w:line="240" w:lineRule="auto"/>
              <w:jc w:val="center"/>
              <w:rPr>
                <w:rFonts w:ascii="Times New Roman" w:hAnsi="Times New Roman"/>
                <w:sz w:val="24"/>
                <w:szCs w:val="24"/>
              </w:rPr>
            </w:pPr>
            <w:r w:rsidRPr="000142FF">
              <w:rPr>
                <w:rFonts w:ascii="Times New Roman" w:hAnsi="Times New Roman"/>
                <w:sz w:val="24"/>
                <w:szCs w:val="24"/>
              </w:rPr>
              <w:t>4</w:t>
            </w:r>
          </w:p>
        </w:tc>
        <w:tc>
          <w:tcPr>
            <w:tcW w:w="8931" w:type="dxa"/>
            <w:gridSpan w:val="4"/>
            <w:tcBorders>
              <w:top w:val="single" w:sz="4" w:space="0" w:color="auto"/>
              <w:left w:val="single" w:sz="4" w:space="0" w:color="auto"/>
              <w:bottom w:val="single" w:sz="4" w:space="0" w:color="auto"/>
              <w:right w:val="single" w:sz="4" w:space="0" w:color="auto"/>
            </w:tcBorders>
            <w:shd w:val="clear" w:color="auto" w:fill="auto"/>
          </w:tcPr>
          <w:p w:rsidR="00A70430" w:rsidRPr="00C03935" w:rsidRDefault="00A70430" w:rsidP="00FF53CA">
            <w:pPr>
              <w:pStyle w:val="TableParagraph"/>
              <w:tabs>
                <w:tab w:val="left" w:pos="1136"/>
              </w:tabs>
              <w:spacing w:before="140"/>
              <w:rPr>
                <w:sz w:val="24"/>
              </w:rPr>
            </w:pPr>
            <w:r>
              <w:rPr>
                <w:sz w:val="24"/>
              </w:rPr>
              <w:t>Short run model of the economy and policy: closed</w:t>
            </w:r>
            <w:r>
              <w:rPr>
                <w:spacing w:val="-8"/>
                <w:sz w:val="24"/>
              </w:rPr>
              <w:t xml:space="preserve"> </w:t>
            </w:r>
            <w:r>
              <w:rPr>
                <w:sz w:val="24"/>
              </w:rPr>
              <w:t>economy.</w:t>
            </w:r>
            <w:r w:rsidRPr="00C03935">
              <w:rPr>
                <w:sz w:val="24"/>
              </w:rPr>
              <w:t xml:space="preserve"> </w:t>
            </w:r>
          </w:p>
        </w:tc>
      </w:tr>
      <w:tr w:rsidR="00A70430" w:rsidRPr="00A70430" w:rsidTr="00FF53CA">
        <w:trPr>
          <w:trHeight w:val="45"/>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70430" w:rsidRPr="000142FF" w:rsidRDefault="00A70430" w:rsidP="00FF53CA">
            <w:pPr>
              <w:spacing w:after="0" w:line="240" w:lineRule="auto"/>
              <w:jc w:val="center"/>
              <w:rPr>
                <w:rFonts w:ascii="Times New Roman" w:hAnsi="Times New Roman"/>
                <w:sz w:val="24"/>
                <w:szCs w:val="24"/>
              </w:rPr>
            </w:pPr>
            <w:r w:rsidRPr="000142FF">
              <w:rPr>
                <w:rFonts w:ascii="Times New Roman" w:hAnsi="Times New Roman"/>
                <w:sz w:val="24"/>
                <w:szCs w:val="24"/>
              </w:rPr>
              <w:t>5</w:t>
            </w:r>
          </w:p>
        </w:tc>
        <w:tc>
          <w:tcPr>
            <w:tcW w:w="8931" w:type="dxa"/>
            <w:gridSpan w:val="4"/>
            <w:tcBorders>
              <w:top w:val="single" w:sz="4" w:space="0" w:color="auto"/>
              <w:left w:val="single" w:sz="4" w:space="0" w:color="auto"/>
              <w:bottom w:val="single" w:sz="4" w:space="0" w:color="auto"/>
              <w:right w:val="single" w:sz="4" w:space="0" w:color="auto"/>
            </w:tcBorders>
            <w:shd w:val="clear" w:color="auto" w:fill="auto"/>
          </w:tcPr>
          <w:p w:rsidR="00A70430" w:rsidRPr="000142FF" w:rsidRDefault="00A70430" w:rsidP="00FF53CA">
            <w:pPr>
              <w:pStyle w:val="TableParagraph"/>
              <w:tabs>
                <w:tab w:val="left" w:pos="1136"/>
              </w:tabs>
              <w:spacing w:before="139"/>
              <w:rPr>
                <w:rFonts w:eastAsia="Calibri"/>
                <w:i/>
                <w:sz w:val="24"/>
                <w:szCs w:val="24"/>
              </w:rPr>
            </w:pPr>
            <w:r>
              <w:rPr>
                <w:sz w:val="24"/>
              </w:rPr>
              <w:t>Short run model of the economy and policy: open</w:t>
            </w:r>
            <w:r>
              <w:rPr>
                <w:spacing w:val="-7"/>
                <w:sz w:val="24"/>
              </w:rPr>
              <w:t xml:space="preserve"> </w:t>
            </w:r>
            <w:r>
              <w:rPr>
                <w:sz w:val="24"/>
              </w:rPr>
              <w:t>economy.</w:t>
            </w:r>
            <w:r w:rsidRPr="00C03935">
              <w:rPr>
                <w:sz w:val="24"/>
              </w:rPr>
              <w:t xml:space="preserve"> </w:t>
            </w:r>
          </w:p>
        </w:tc>
      </w:tr>
      <w:tr w:rsidR="00A70430" w:rsidRPr="000142FF" w:rsidTr="00FF53CA">
        <w:trPr>
          <w:trHeight w:val="552"/>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hideMark/>
          </w:tcPr>
          <w:p w:rsidR="00A70430" w:rsidRPr="000142FF" w:rsidRDefault="00A70430" w:rsidP="00FF53CA">
            <w:pPr>
              <w:spacing w:after="0" w:line="240" w:lineRule="auto"/>
              <w:rPr>
                <w:rFonts w:ascii="Times New Roman" w:hAnsi="Times New Roman"/>
                <w:sz w:val="24"/>
                <w:szCs w:val="24"/>
                <w:lang w:val="en-US"/>
              </w:rPr>
            </w:pPr>
            <w:r w:rsidRPr="000142FF">
              <w:rPr>
                <w:rFonts w:ascii="Times New Roman" w:hAnsi="Times New Roman"/>
                <w:sz w:val="24"/>
                <w:szCs w:val="24"/>
                <w:lang w:val="en-US"/>
              </w:rPr>
              <w:t xml:space="preserve">Indicative Assessment Methods and Strategy </w:t>
            </w:r>
          </w:p>
        </w:tc>
        <w:tc>
          <w:tcPr>
            <w:tcW w:w="6810"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70430" w:rsidRPr="00C03935" w:rsidRDefault="00A70430" w:rsidP="00FF53CA">
            <w:pPr>
              <w:pStyle w:val="TableParagraph"/>
              <w:spacing w:before="43"/>
              <w:ind w:left="0"/>
              <w:rPr>
                <w:sz w:val="24"/>
              </w:rPr>
            </w:pPr>
            <w:r>
              <w:rPr>
                <w:sz w:val="24"/>
              </w:rPr>
              <w:t xml:space="preserve">Students’ progress will be measured by [1] in-class tests (30% of the final grade), [2] </w:t>
            </w:r>
            <w:r w:rsidRPr="007C2A5B">
              <w:rPr>
                <w:sz w:val="24"/>
              </w:rPr>
              <w:t>class participation</w:t>
            </w:r>
            <w:r>
              <w:rPr>
                <w:sz w:val="24"/>
              </w:rPr>
              <w:t xml:space="preserve"> (10%), and [3] 90-minute written final exam (60%). Items [1] and [2] are components of cumulative grade which has weight 0.4 in the final grade.</w:t>
            </w:r>
          </w:p>
        </w:tc>
      </w:tr>
      <w:tr w:rsidR="00A70430" w:rsidRPr="000142FF" w:rsidTr="00FF53CA">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tcPr>
          <w:p w:rsidR="00A70430" w:rsidRPr="000142FF" w:rsidRDefault="00A70430" w:rsidP="00FF53CA">
            <w:pPr>
              <w:spacing w:after="0" w:line="240" w:lineRule="auto"/>
              <w:rPr>
                <w:rFonts w:ascii="Times New Roman" w:hAnsi="Times New Roman"/>
                <w:sz w:val="24"/>
                <w:szCs w:val="24"/>
                <w:lang w:val="en-US"/>
              </w:rPr>
            </w:pPr>
            <w:r w:rsidRPr="000142FF">
              <w:rPr>
                <w:rFonts w:ascii="Times New Roman" w:hAnsi="Times New Roman"/>
                <w:sz w:val="24"/>
                <w:szCs w:val="24"/>
                <w:lang w:val="en-US"/>
              </w:rPr>
              <w:t>Readings / Indicative Learning Resources</w:t>
            </w:r>
          </w:p>
        </w:tc>
        <w:tc>
          <w:tcPr>
            <w:tcW w:w="6810"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70430" w:rsidRPr="008A3C1C" w:rsidRDefault="00A70430" w:rsidP="00FF53CA">
            <w:pPr>
              <w:spacing w:after="0" w:line="240" w:lineRule="auto"/>
              <w:rPr>
                <w:rFonts w:ascii="Times New Roman" w:hAnsi="Times New Roman"/>
                <w:sz w:val="24"/>
                <w:szCs w:val="24"/>
                <w:u w:val="single"/>
                <w:lang w:val="en-US"/>
              </w:rPr>
            </w:pPr>
            <w:r w:rsidRPr="008A3C1C">
              <w:rPr>
                <w:rFonts w:ascii="Times New Roman" w:hAnsi="Times New Roman"/>
                <w:sz w:val="24"/>
                <w:szCs w:val="24"/>
                <w:u w:val="single"/>
                <w:lang w:val="en-US"/>
              </w:rPr>
              <w:t xml:space="preserve">Mandatory </w:t>
            </w:r>
          </w:p>
          <w:p w:rsidR="00A70430" w:rsidRPr="008A3C1C" w:rsidRDefault="00A70430" w:rsidP="00FF53CA">
            <w:pPr>
              <w:pStyle w:val="TableParagraph"/>
              <w:spacing w:before="0"/>
              <w:ind w:right="343"/>
              <w:jc w:val="both"/>
              <w:rPr>
                <w:sz w:val="24"/>
                <w:szCs w:val="24"/>
              </w:rPr>
            </w:pPr>
            <w:r w:rsidRPr="008A3C1C">
              <w:rPr>
                <w:sz w:val="24"/>
                <w:szCs w:val="24"/>
                <w:shd w:val="clear" w:color="auto" w:fill="F5F5F5"/>
              </w:rPr>
              <w:t>Homburg S. </w:t>
            </w:r>
            <w:r w:rsidRPr="008A3C1C">
              <w:rPr>
                <w:i/>
                <w:iCs/>
                <w:sz w:val="24"/>
                <w:szCs w:val="24"/>
                <w:bdr w:val="none" w:sz="0" w:space="0" w:color="auto" w:frame="1"/>
                <w:shd w:val="clear" w:color="auto" w:fill="F5F5F5"/>
              </w:rPr>
              <w:t>A Study in Monetary Macroeconomics</w:t>
            </w:r>
            <w:r w:rsidRPr="008A3C1C">
              <w:rPr>
                <w:sz w:val="24"/>
                <w:szCs w:val="24"/>
                <w:shd w:val="clear" w:color="auto" w:fill="F5F5F5"/>
              </w:rPr>
              <w:t>. Corby: OUP Oxford; 2017. </w:t>
            </w:r>
            <w:r w:rsidRPr="008A3C1C">
              <w:rPr>
                <w:sz w:val="24"/>
                <w:szCs w:val="24"/>
              </w:rPr>
              <w:t xml:space="preserve"> </w:t>
            </w:r>
          </w:p>
          <w:p w:rsidR="00A70430" w:rsidRPr="008A3C1C" w:rsidRDefault="00A70430" w:rsidP="00FF53CA">
            <w:pPr>
              <w:pStyle w:val="TableParagraph"/>
              <w:spacing w:before="0"/>
              <w:ind w:right="343"/>
              <w:jc w:val="both"/>
              <w:rPr>
                <w:sz w:val="24"/>
                <w:szCs w:val="24"/>
              </w:rPr>
            </w:pPr>
            <w:hyperlink r:id="rId4" w:history="1">
              <w:r w:rsidRPr="008A3C1C">
                <w:rPr>
                  <w:rStyle w:val="a3"/>
                  <w:sz w:val="24"/>
                  <w:szCs w:val="24"/>
                </w:rPr>
                <w:t>http://proxylibrary.hse.ru:2101/view/10.1093/oso/9780198807537.001.0001/oso-9780198807537</w:t>
              </w:r>
            </w:hyperlink>
          </w:p>
          <w:p w:rsidR="00A70430" w:rsidRPr="008A3C1C" w:rsidRDefault="00A70430" w:rsidP="00FF53CA">
            <w:pPr>
              <w:pStyle w:val="TableParagraph"/>
              <w:spacing w:before="0"/>
              <w:ind w:right="343"/>
              <w:jc w:val="both"/>
              <w:rPr>
                <w:sz w:val="24"/>
                <w:szCs w:val="24"/>
              </w:rPr>
            </w:pPr>
            <w:proofErr w:type="spellStart"/>
            <w:r w:rsidRPr="008A3C1C">
              <w:rPr>
                <w:sz w:val="24"/>
                <w:szCs w:val="24"/>
                <w:shd w:val="clear" w:color="auto" w:fill="F5F5F5"/>
              </w:rPr>
              <w:t>Barwell</w:t>
            </w:r>
            <w:proofErr w:type="spellEnd"/>
            <w:r w:rsidRPr="008A3C1C">
              <w:rPr>
                <w:sz w:val="24"/>
                <w:szCs w:val="24"/>
                <w:shd w:val="clear" w:color="auto" w:fill="F5F5F5"/>
              </w:rPr>
              <w:t xml:space="preserve"> R. </w:t>
            </w:r>
            <w:r w:rsidRPr="008A3C1C">
              <w:rPr>
                <w:i/>
                <w:iCs/>
                <w:sz w:val="24"/>
                <w:szCs w:val="24"/>
                <w:bdr w:val="none" w:sz="0" w:space="0" w:color="auto" w:frame="1"/>
                <w:shd w:val="clear" w:color="auto" w:fill="F5F5F5"/>
              </w:rPr>
              <w:t xml:space="preserve">Macroeconomic Policy After the Crash : Issues in </w:t>
            </w:r>
            <w:proofErr w:type="spellStart"/>
            <w:r w:rsidRPr="008A3C1C">
              <w:rPr>
                <w:i/>
                <w:iCs/>
                <w:sz w:val="24"/>
                <w:szCs w:val="24"/>
                <w:bdr w:val="none" w:sz="0" w:space="0" w:color="auto" w:frame="1"/>
                <w:shd w:val="clear" w:color="auto" w:fill="F5F5F5"/>
              </w:rPr>
              <w:t>Microprudential</w:t>
            </w:r>
            <w:proofErr w:type="spellEnd"/>
            <w:r w:rsidRPr="008A3C1C">
              <w:rPr>
                <w:i/>
                <w:iCs/>
                <w:sz w:val="24"/>
                <w:szCs w:val="24"/>
                <w:bdr w:val="none" w:sz="0" w:space="0" w:color="auto" w:frame="1"/>
                <w:shd w:val="clear" w:color="auto" w:fill="F5F5F5"/>
              </w:rPr>
              <w:t xml:space="preserve"> and </w:t>
            </w:r>
            <w:proofErr w:type="spellStart"/>
            <w:r w:rsidRPr="008A3C1C">
              <w:rPr>
                <w:i/>
                <w:iCs/>
                <w:sz w:val="24"/>
                <w:szCs w:val="24"/>
                <w:bdr w:val="none" w:sz="0" w:space="0" w:color="auto" w:frame="1"/>
                <w:shd w:val="clear" w:color="auto" w:fill="F5F5F5"/>
              </w:rPr>
              <w:t>Macroprudential</w:t>
            </w:r>
            <w:proofErr w:type="spellEnd"/>
            <w:r w:rsidRPr="008A3C1C">
              <w:rPr>
                <w:i/>
                <w:iCs/>
                <w:sz w:val="24"/>
                <w:szCs w:val="24"/>
                <w:bdr w:val="none" w:sz="0" w:space="0" w:color="auto" w:frame="1"/>
                <w:shd w:val="clear" w:color="auto" w:fill="F5F5F5"/>
              </w:rPr>
              <w:t xml:space="preserve"> Policy</w:t>
            </w:r>
            <w:r w:rsidRPr="008A3C1C">
              <w:rPr>
                <w:sz w:val="24"/>
                <w:szCs w:val="24"/>
                <w:shd w:val="clear" w:color="auto" w:fill="F5F5F5"/>
              </w:rPr>
              <w:t>. Cham: Palgrave Macmillan; 2017</w:t>
            </w:r>
          </w:p>
          <w:p w:rsidR="00A70430" w:rsidRPr="008A3C1C" w:rsidRDefault="00A70430" w:rsidP="00FF53CA">
            <w:pPr>
              <w:pStyle w:val="TableParagraph"/>
              <w:spacing w:before="0"/>
              <w:ind w:right="343"/>
              <w:jc w:val="both"/>
              <w:rPr>
                <w:sz w:val="24"/>
                <w:szCs w:val="24"/>
              </w:rPr>
            </w:pPr>
            <w:hyperlink r:id="rId5" w:history="1">
              <w:r w:rsidRPr="008A3C1C">
                <w:rPr>
                  <w:rStyle w:val="a3"/>
                  <w:sz w:val="24"/>
                  <w:szCs w:val="24"/>
                </w:rPr>
                <w:t>https://proxylibrary.hse.ru:2176/book/10.1007%2F978-3-319-40463-9</w:t>
              </w:r>
            </w:hyperlink>
          </w:p>
          <w:p w:rsidR="00A70430" w:rsidRDefault="00A70430" w:rsidP="00FF53CA">
            <w:pPr>
              <w:pStyle w:val="TableParagraph"/>
              <w:spacing w:before="0"/>
              <w:ind w:right="343"/>
              <w:jc w:val="both"/>
              <w:rPr>
                <w:sz w:val="24"/>
                <w:szCs w:val="24"/>
              </w:rPr>
            </w:pPr>
          </w:p>
          <w:p w:rsidR="00A70430" w:rsidRPr="008A3C1C" w:rsidRDefault="00A70430" w:rsidP="00FF53CA">
            <w:pPr>
              <w:pStyle w:val="TableParagraph"/>
              <w:spacing w:before="0"/>
              <w:ind w:right="343"/>
              <w:jc w:val="both"/>
              <w:rPr>
                <w:rFonts w:eastAsia="Calibri"/>
                <w:sz w:val="24"/>
                <w:szCs w:val="24"/>
              </w:rPr>
            </w:pPr>
            <w:r w:rsidRPr="008A3C1C">
              <w:rPr>
                <w:sz w:val="24"/>
                <w:szCs w:val="24"/>
              </w:rPr>
              <w:t>Additional papers will be distributed in class for in-class presentations and discussions</w:t>
            </w:r>
          </w:p>
        </w:tc>
      </w:tr>
      <w:tr w:rsidR="00A70430" w:rsidRPr="000142FF" w:rsidTr="00FF53CA">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tcPr>
          <w:p w:rsidR="00A70430" w:rsidRPr="000142FF" w:rsidRDefault="00A70430" w:rsidP="00FF53CA">
            <w:pPr>
              <w:spacing w:after="0" w:line="240" w:lineRule="auto"/>
              <w:rPr>
                <w:rFonts w:ascii="Times New Roman" w:hAnsi="Times New Roman"/>
                <w:sz w:val="24"/>
                <w:szCs w:val="24"/>
                <w:lang w:val="en-US"/>
              </w:rPr>
            </w:pPr>
            <w:r w:rsidRPr="000142FF">
              <w:rPr>
                <w:rFonts w:ascii="Times New Roman" w:hAnsi="Times New Roman"/>
                <w:sz w:val="24"/>
                <w:szCs w:val="24"/>
                <w:lang w:val="en-US"/>
              </w:rPr>
              <w:t>Academic Support for the Course</w:t>
            </w:r>
          </w:p>
        </w:tc>
        <w:tc>
          <w:tcPr>
            <w:tcW w:w="6810"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70430" w:rsidRPr="000142FF" w:rsidRDefault="00A70430" w:rsidP="00FF53CA">
            <w:pPr>
              <w:spacing w:after="0" w:line="240" w:lineRule="auto"/>
              <w:rPr>
                <w:rFonts w:ascii="Times New Roman" w:hAnsi="Times New Roman"/>
                <w:sz w:val="24"/>
                <w:szCs w:val="24"/>
                <w:lang w:val="en-US"/>
              </w:rPr>
            </w:pPr>
            <w:r w:rsidRPr="000142FF">
              <w:rPr>
                <w:rFonts w:ascii="Times New Roman" w:hAnsi="Times New Roman"/>
                <w:sz w:val="24"/>
                <w:szCs w:val="24"/>
                <w:lang w:val="en-US"/>
              </w:rPr>
              <w:t>Academic support for the course is provided via LMS, where students can find: guidelines and recommendations for doing the course; guidelines and recommendations for self-study; samples of assessment materials</w:t>
            </w:r>
          </w:p>
        </w:tc>
      </w:tr>
      <w:tr w:rsidR="00A70430" w:rsidRPr="00586663" w:rsidTr="00FF53CA">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tcPr>
          <w:p w:rsidR="00A70430" w:rsidRPr="000142FF" w:rsidRDefault="00A70430" w:rsidP="00FF53CA">
            <w:pPr>
              <w:spacing w:after="0" w:line="240" w:lineRule="auto"/>
              <w:rPr>
                <w:rFonts w:ascii="Times New Roman" w:hAnsi="Times New Roman"/>
                <w:sz w:val="24"/>
                <w:szCs w:val="24"/>
                <w:lang w:val="en-US"/>
              </w:rPr>
            </w:pPr>
            <w:r w:rsidRPr="000142FF">
              <w:rPr>
                <w:rFonts w:ascii="Times New Roman" w:hAnsi="Times New Roman"/>
                <w:sz w:val="24"/>
                <w:szCs w:val="24"/>
                <w:lang w:val="en-US"/>
              </w:rPr>
              <w:t>Facilities, Equipment and Software</w:t>
            </w:r>
          </w:p>
        </w:tc>
        <w:tc>
          <w:tcPr>
            <w:tcW w:w="6810"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70430" w:rsidRPr="000142FF" w:rsidRDefault="00A70430" w:rsidP="00FF53CA">
            <w:pPr>
              <w:spacing w:after="0" w:line="240" w:lineRule="auto"/>
              <w:rPr>
                <w:rFonts w:ascii="Times New Roman" w:hAnsi="Times New Roman"/>
                <w:sz w:val="24"/>
                <w:szCs w:val="24"/>
                <w:lang w:val="en-US"/>
              </w:rPr>
            </w:pPr>
            <w:r w:rsidRPr="000142FF">
              <w:rPr>
                <w:rFonts w:ascii="Times New Roman" w:hAnsi="Times New Roman"/>
                <w:sz w:val="24"/>
                <w:szCs w:val="24"/>
                <w:lang w:val="en-US"/>
              </w:rPr>
              <w:t>(If required)</w:t>
            </w:r>
          </w:p>
        </w:tc>
      </w:tr>
      <w:tr w:rsidR="00A70430" w:rsidRPr="00076E2F" w:rsidTr="00FF53CA">
        <w:tc>
          <w:tcPr>
            <w:tcW w:w="2546" w:type="dxa"/>
            <w:gridSpan w:val="2"/>
            <w:tcBorders>
              <w:top w:val="single" w:sz="4" w:space="0" w:color="auto"/>
              <w:left w:val="single" w:sz="4" w:space="0" w:color="auto"/>
              <w:bottom w:val="single" w:sz="4" w:space="0" w:color="auto"/>
              <w:right w:val="single" w:sz="4" w:space="0" w:color="auto"/>
            </w:tcBorders>
            <w:shd w:val="clear" w:color="auto" w:fill="92CDDC"/>
            <w:tcMar>
              <w:top w:w="57" w:type="dxa"/>
              <w:left w:w="57" w:type="dxa"/>
              <w:bottom w:w="57" w:type="dxa"/>
              <w:right w:w="57" w:type="dxa"/>
            </w:tcMar>
          </w:tcPr>
          <w:p w:rsidR="00A70430" w:rsidRPr="000142FF" w:rsidRDefault="00A70430" w:rsidP="00FF53CA">
            <w:pPr>
              <w:spacing w:after="0" w:line="240" w:lineRule="auto"/>
              <w:rPr>
                <w:rFonts w:ascii="Times New Roman" w:hAnsi="Times New Roman"/>
                <w:sz w:val="24"/>
                <w:szCs w:val="24"/>
                <w:lang w:val="en-US"/>
              </w:rPr>
            </w:pPr>
            <w:r w:rsidRPr="000142FF">
              <w:rPr>
                <w:rFonts w:ascii="Times New Roman" w:hAnsi="Times New Roman"/>
                <w:sz w:val="24"/>
                <w:szCs w:val="24"/>
                <w:lang w:val="en-US"/>
              </w:rPr>
              <w:t>Course Instructor</w:t>
            </w:r>
          </w:p>
        </w:tc>
        <w:tc>
          <w:tcPr>
            <w:tcW w:w="6810"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A70430" w:rsidRPr="000142FF" w:rsidRDefault="00A70430" w:rsidP="00FF53CA">
            <w:pPr>
              <w:spacing w:after="0" w:line="240" w:lineRule="auto"/>
              <w:rPr>
                <w:rFonts w:ascii="Times New Roman" w:hAnsi="Times New Roman"/>
                <w:sz w:val="24"/>
                <w:szCs w:val="24"/>
                <w:lang w:val="en-US"/>
              </w:rPr>
            </w:pPr>
            <w:r w:rsidRPr="000142FF">
              <w:rPr>
                <w:rFonts w:ascii="Times New Roman" w:hAnsi="Times New Roman"/>
                <w:sz w:val="24"/>
                <w:szCs w:val="24"/>
                <w:lang w:val="en-US"/>
              </w:rPr>
              <w:t xml:space="preserve">Sergey Slobodyan, Victoria </w:t>
            </w:r>
            <w:proofErr w:type="spellStart"/>
            <w:r w:rsidRPr="000142FF">
              <w:rPr>
                <w:rFonts w:ascii="Times New Roman" w:hAnsi="Times New Roman"/>
                <w:sz w:val="24"/>
                <w:szCs w:val="24"/>
                <w:lang w:val="en-US"/>
              </w:rPr>
              <w:t>Zezerova</w:t>
            </w:r>
            <w:proofErr w:type="spellEnd"/>
          </w:p>
        </w:tc>
      </w:tr>
    </w:tbl>
    <w:p w:rsidR="009931C4" w:rsidRDefault="009931C4"/>
    <w:sectPr w:rsidR="009931C4" w:rsidSect="009931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0430"/>
    <w:rsid w:val="009931C4"/>
    <w:rsid w:val="00A70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4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70430"/>
    <w:pPr>
      <w:widowControl w:val="0"/>
      <w:autoSpaceDE w:val="0"/>
      <w:autoSpaceDN w:val="0"/>
      <w:spacing w:before="49" w:after="0" w:line="240" w:lineRule="auto"/>
      <w:ind w:left="55"/>
    </w:pPr>
    <w:rPr>
      <w:rFonts w:ascii="Times New Roman" w:eastAsia="Times New Roman" w:hAnsi="Times New Roman"/>
      <w:lang w:val="en-US" w:bidi="en-US"/>
    </w:rPr>
  </w:style>
  <w:style w:type="character" w:styleId="a3">
    <w:name w:val="Hyperlink"/>
    <w:uiPriority w:val="99"/>
    <w:unhideWhenUsed/>
    <w:rsid w:val="00A704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xylibrary.hse.ru:2176/book/10.1007%2F978-3-319-40463-9" TargetMode="External"/><Relationship Id="rId4" Type="http://schemas.openxmlformats.org/officeDocument/2006/relationships/hyperlink" Target="http://proxylibrary.hse.ru:2101/view/10.1093/oso/9780198807537.001.0001/oso-97801988075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vbagranova</dc:creator>
  <cp:lastModifiedBy>vbagranova</cp:lastModifiedBy>
  <cp:revision>1</cp:revision>
  <dcterms:created xsi:type="dcterms:W3CDTF">2019-03-27T08:47:00Z</dcterms:created>
  <dcterms:modified xsi:type="dcterms:W3CDTF">2019-03-27T08:47:00Z</dcterms:modified>
</cp:coreProperties>
</file>