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DD" w:rsidRDefault="003409D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5BD" w:rsidRPr="006829B7" w:rsidRDefault="00DE410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9B7">
        <w:rPr>
          <w:rFonts w:ascii="Times New Roman" w:eastAsia="Times New Roman" w:hAnsi="Times New Roman" w:cs="Times New Roman"/>
          <w:b/>
          <w:sz w:val="24"/>
          <w:szCs w:val="24"/>
        </w:rPr>
        <w:t>Course Syllabus</w:t>
      </w:r>
    </w:p>
    <w:p w:rsidR="001965BD" w:rsidRPr="006829B7" w:rsidRDefault="001965B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630" w:type="dxa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2121"/>
        <w:gridCol w:w="1704"/>
        <w:gridCol w:w="712"/>
        <w:gridCol w:w="992"/>
        <w:gridCol w:w="1134"/>
        <w:gridCol w:w="426"/>
        <w:gridCol w:w="708"/>
        <w:gridCol w:w="1558"/>
      </w:tblGrid>
      <w:tr w:rsidR="007E72A2" w:rsidRPr="006829B7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829B7" w:rsidRDefault="007E72A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829B7" w:rsidRDefault="00EA58F6" w:rsidP="0089302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6829B7">
              <w:rPr>
                <w:rFonts w:ascii="Times New Roman" w:hAnsi="Times New Roman"/>
                <w:b/>
                <w:sz w:val="24"/>
                <w:szCs w:val="24"/>
              </w:rPr>
              <w:t xml:space="preserve">Social Networks </w:t>
            </w:r>
            <w:bookmarkEnd w:id="0"/>
            <w:r w:rsidRPr="006829B7">
              <w:rPr>
                <w:rFonts w:ascii="Times New Roman" w:hAnsi="Times New Roman"/>
                <w:b/>
                <w:sz w:val="24"/>
                <w:szCs w:val="24"/>
              </w:rPr>
              <w:t>(offered in English)</w:t>
            </w:r>
          </w:p>
        </w:tc>
      </w:tr>
      <w:tr w:rsidR="007E72A2" w:rsidRPr="006829B7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829B7" w:rsidRDefault="007E72A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 of the Academic </w:t>
            </w:r>
            <w:proofErr w:type="spellStart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2A2" w:rsidRPr="006829B7" w:rsidRDefault="00EA58F6" w:rsidP="008930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hAnsi="Times New Roman"/>
                <w:sz w:val="24"/>
                <w:szCs w:val="24"/>
              </w:rPr>
              <w:t>Modern Social Analysis</w:t>
            </w:r>
          </w:p>
        </w:tc>
      </w:tr>
      <w:tr w:rsidR="007E72A2" w:rsidRPr="006829B7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829B7" w:rsidRDefault="007E72A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of the course 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2A2" w:rsidRPr="006829B7" w:rsidRDefault="007E72A2" w:rsidP="008930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Elective</w:t>
            </w:r>
          </w:p>
        </w:tc>
      </w:tr>
      <w:tr w:rsidR="007E72A2" w:rsidRPr="006829B7">
        <w:trPr>
          <w:trHeight w:val="220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829B7" w:rsidRDefault="007E72A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829B7" w:rsidRDefault="007E72A2" w:rsidP="008930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29B7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  <w:tr w:rsidR="007E72A2" w:rsidRPr="006829B7">
        <w:trPr>
          <w:trHeight w:val="220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829B7" w:rsidRDefault="007E72A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ECTS workload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829B7" w:rsidRDefault="007E72A2" w:rsidP="008930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2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65BD" w:rsidRPr="006829B7">
        <w:trPr>
          <w:trHeight w:val="200"/>
        </w:trPr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Total indicative study hours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Directed Study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Self-directed study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7E72A2" w:rsidRPr="006829B7">
        <w:trPr>
          <w:trHeight w:val="20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829B7" w:rsidRDefault="007E72A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829B7" w:rsidRDefault="007E72A2" w:rsidP="008930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29B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A2" w:rsidRPr="006829B7" w:rsidRDefault="007E72A2" w:rsidP="008930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29B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A2" w:rsidRPr="006829B7" w:rsidRDefault="007E72A2" w:rsidP="008930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29B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7E72A2" w:rsidRPr="006829B7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829B7" w:rsidRDefault="007E72A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Course Overview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829B7" w:rsidRDefault="007E72A2" w:rsidP="0089302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hAnsi="Times New Roman"/>
                <w:sz w:val="24"/>
                <w:szCs w:val="24"/>
              </w:rPr>
              <w:t>The course will explore main conceptual, theoretical and methodological approaches related to Social Network Analysis (SNA).  Part of the course will be practical training in SNA research methods and techniques.</w:t>
            </w:r>
          </w:p>
        </w:tc>
      </w:tr>
      <w:tr w:rsidR="001965BD" w:rsidRPr="006829B7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Intended Learning Outcomes (ILO)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829B7" w:rsidRDefault="007E72A2" w:rsidP="007E72A2">
            <w:pPr>
              <w:numPr>
                <w:ilvl w:val="0"/>
                <w:numId w:val="5"/>
              </w:numPr>
              <w:spacing w:after="12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6829B7">
              <w:rPr>
                <w:rFonts w:ascii="Times New Roman" w:hAnsi="Times New Roman"/>
                <w:sz w:val="24"/>
                <w:szCs w:val="24"/>
              </w:rPr>
              <w:t>Understanding basic concepts of social network analysis</w:t>
            </w:r>
          </w:p>
          <w:p w:rsidR="007E72A2" w:rsidRPr="006829B7" w:rsidRDefault="007E72A2" w:rsidP="007E72A2">
            <w:pPr>
              <w:numPr>
                <w:ilvl w:val="0"/>
                <w:numId w:val="5"/>
              </w:numPr>
              <w:spacing w:after="12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6829B7">
              <w:rPr>
                <w:rFonts w:ascii="Times New Roman" w:hAnsi="Times New Roman"/>
                <w:sz w:val="24"/>
                <w:szCs w:val="24"/>
              </w:rPr>
              <w:t>Understanding how networks can contribute to the explanation of specific social, political, economic and cultural phenomena</w:t>
            </w:r>
          </w:p>
          <w:p w:rsidR="007E72A2" w:rsidRPr="006829B7" w:rsidRDefault="007E72A2" w:rsidP="007E72A2">
            <w:pPr>
              <w:numPr>
                <w:ilvl w:val="0"/>
                <w:numId w:val="5"/>
              </w:numPr>
              <w:spacing w:after="12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6829B7">
              <w:rPr>
                <w:rFonts w:ascii="Times New Roman" w:hAnsi="Times New Roman"/>
                <w:sz w:val="24"/>
                <w:szCs w:val="24"/>
              </w:rPr>
              <w:t xml:space="preserve">Mastering basic skills of working with SNA software </w:t>
            </w:r>
            <w:proofErr w:type="spellStart"/>
            <w:r w:rsidRPr="006829B7">
              <w:rPr>
                <w:rFonts w:ascii="Times New Roman" w:hAnsi="Times New Roman"/>
                <w:sz w:val="24"/>
                <w:szCs w:val="24"/>
              </w:rPr>
              <w:t>Gephi</w:t>
            </w:r>
            <w:proofErr w:type="spellEnd"/>
            <w:r w:rsidRPr="006829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29B7">
              <w:rPr>
                <w:rFonts w:ascii="Times New Roman" w:hAnsi="Times New Roman"/>
                <w:sz w:val="24"/>
                <w:szCs w:val="24"/>
              </w:rPr>
              <w:t>Pajek</w:t>
            </w:r>
            <w:proofErr w:type="spellEnd"/>
            <w:r w:rsidRPr="006829B7">
              <w:rPr>
                <w:rFonts w:ascii="Times New Roman" w:hAnsi="Times New Roman"/>
                <w:sz w:val="24"/>
                <w:szCs w:val="24"/>
              </w:rPr>
              <w:t>, R packages</w:t>
            </w:r>
          </w:p>
          <w:p w:rsidR="001965BD" w:rsidRPr="006829B7" w:rsidRDefault="007E72A2" w:rsidP="007E72A2">
            <w:pPr>
              <w:numPr>
                <w:ilvl w:val="0"/>
                <w:numId w:val="5"/>
              </w:numPr>
              <w:spacing w:after="12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6829B7">
              <w:rPr>
                <w:rFonts w:ascii="Times New Roman" w:hAnsi="Times New Roman"/>
                <w:sz w:val="24"/>
                <w:szCs w:val="24"/>
              </w:rPr>
              <w:t xml:space="preserve">Acquaintance with </w:t>
            </w:r>
            <w:proofErr w:type="spellStart"/>
            <w:r w:rsidRPr="006829B7">
              <w:rPr>
                <w:rFonts w:ascii="Times New Roman" w:hAnsi="Times New Roman"/>
                <w:sz w:val="24"/>
                <w:szCs w:val="24"/>
              </w:rPr>
              <w:t>biblographic</w:t>
            </w:r>
            <w:proofErr w:type="spellEnd"/>
            <w:r w:rsidRPr="006829B7">
              <w:rPr>
                <w:rFonts w:ascii="Times New Roman" w:hAnsi="Times New Roman"/>
                <w:sz w:val="24"/>
                <w:szCs w:val="24"/>
              </w:rPr>
              <w:t xml:space="preserve"> network analysis software </w:t>
            </w:r>
            <w:proofErr w:type="spellStart"/>
            <w:r w:rsidRPr="006829B7">
              <w:rPr>
                <w:rFonts w:ascii="Times New Roman" w:hAnsi="Times New Roman"/>
                <w:sz w:val="24"/>
                <w:szCs w:val="24"/>
              </w:rPr>
              <w:t>VosViewer</w:t>
            </w:r>
            <w:proofErr w:type="spellEnd"/>
            <w:r w:rsidRPr="006829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29B7">
              <w:rPr>
                <w:rFonts w:ascii="Times New Roman" w:hAnsi="Times New Roman"/>
                <w:sz w:val="24"/>
                <w:szCs w:val="24"/>
              </w:rPr>
              <w:t>CitNetExplorer</w:t>
            </w:r>
            <w:proofErr w:type="spellEnd"/>
          </w:p>
        </w:tc>
      </w:tr>
      <w:tr w:rsidR="001965BD" w:rsidRPr="006829B7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and Learning Methods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754AE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 xml:space="preserve">This course consists of seminars, computer classes and individual project with presentation. Seminars are held in interactive ways including discussions, group works, </w:t>
            </w:r>
            <w:proofErr w:type="gramStart"/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quizzes</w:t>
            </w:r>
            <w:proofErr w:type="gramEnd"/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. Computer classes include practical work with social network analysis software. Individual project is a written work (essay) on the course topic.</w:t>
            </w:r>
          </w:p>
        </w:tc>
      </w:tr>
      <w:tr w:rsidR="001965BD" w:rsidRPr="006829B7"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Content and Structure of the Course</w:t>
            </w:r>
          </w:p>
        </w:tc>
      </w:tr>
      <w:tr w:rsidR="001965BD" w:rsidRPr="006829B7">
        <w:trPr>
          <w:trHeight w:val="4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1965BD" w:rsidRPr="006829B7" w:rsidRDefault="00DE41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</w:rPr>
              <w:t>Topic / Course Chapter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1965BD" w:rsidRPr="006829B7" w:rsidRDefault="00DE410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29B7">
              <w:rPr>
                <w:rFonts w:ascii="Times New Roman" w:eastAsia="Times New Roman" w:hAnsi="Times New Roman" w:cs="Times New Roman"/>
                <w:b/>
              </w:rPr>
              <w:t>Total</w:t>
            </w:r>
          </w:p>
          <w:p w:rsidR="001965BD" w:rsidRPr="006829B7" w:rsidRDefault="001965BD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1965BD" w:rsidRPr="006829B7" w:rsidRDefault="00DE41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</w:rPr>
              <w:t>Directed Study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1965BD" w:rsidRPr="006829B7" w:rsidRDefault="00DE41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</w:rPr>
              <w:t>Self-directed Study</w:t>
            </w:r>
          </w:p>
        </w:tc>
      </w:tr>
      <w:tr w:rsidR="001965BD" w:rsidRPr="006829B7">
        <w:trPr>
          <w:trHeight w:val="4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196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1965BD" w:rsidRPr="006829B7" w:rsidRDefault="00196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1965BD" w:rsidRPr="006829B7" w:rsidRDefault="00196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</w:rPr>
              <w:t>Lectures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</w:rPr>
              <w:t>Tutorials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1965BD" w:rsidRPr="006829B7" w:rsidRDefault="00196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9" w:rsidRPr="006829B7">
        <w:trPr>
          <w:trHeight w:val="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06F9" w:rsidRPr="006829B7" w:rsidRDefault="00AE06F9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DD3E51" w:rsidP="00DD3E51">
            <w:pPr>
              <w:spacing w:after="0"/>
              <w:rPr>
                <w:rFonts w:ascii="Times New Roman" w:hAnsi="Times New Roman"/>
              </w:rPr>
            </w:pPr>
            <w:r w:rsidRPr="006829B7">
              <w:rPr>
                <w:rFonts w:ascii="Times New Roman" w:hAnsi="Times New Roman"/>
              </w:rPr>
              <w:t xml:space="preserve">Network terminology and metrics. Describing, </w:t>
            </w:r>
            <w:proofErr w:type="spellStart"/>
            <w:r w:rsidRPr="006829B7">
              <w:rPr>
                <w:rFonts w:ascii="Times New Roman" w:hAnsi="Times New Roman"/>
              </w:rPr>
              <w:t>visualising</w:t>
            </w:r>
            <w:proofErr w:type="spellEnd"/>
            <w:r w:rsidRPr="006829B7">
              <w:rPr>
                <w:rFonts w:ascii="Times New Roman" w:hAnsi="Times New Roman"/>
              </w:rPr>
              <w:t xml:space="preserve"> and </w:t>
            </w:r>
            <w:proofErr w:type="spellStart"/>
            <w:r w:rsidRPr="006829B7">
              <w:rPr>
                <w:rFonts w:ascii="Times New Roman" w:hAnsi="Times New Roman"/>
              </w:rPr>
              <w:t>analy</w:t>
            </w:r>
            <w:r w:rsidR="004F5E2C" w:rsidRPr="006829B7">
              <w:rPr>
                <w:rFonts w:ascii="Times New Roman" w:hAnsi="Times New Roman"/>
              </w:rPr>
              <w:t>sing</w:t>
            </w:r>
            <w:proofErr w:type="spellEnd"/>
            <w:r w:rsidR="004F5E2C" w:rsidRPr="006829B7">
              <w:rPr>
                <w:rFonts w:ascii="Times New Roman" w:hAnsi="Times New Roman"/>
              </w:rPr>
              <w:t xml:space="preserve"> networks. Software: </w:t>
            </w:r>
            <w:proofErr w:type="spellStart"/>
            <w:r w:rsidR="004F5E2C" w:rsidRPr="006829B7">
              <w:rPr>
                <w:rFonts w:ascii="Times New Roman" w:hAnsi="Times New Roman"/>
              </w:rPr>
              <w:t>Pajek</w:t>
            </w:r>
            <w:proofErr w:type="spellEnd"/>
            <w:r w:rsidR="004F5E2C" w:rsidRPr="006829B7">
              <w:rPr>
                <w:rFonts w:ascii="Times New Roman" w:hAnsi="Times New Roman"/>
              </w:rPr>
              <w:t xml:space="preserve">, </w:t>
            </w:r>
            <w:proofErr w:type="spellStart"/>
            <w:r w:rsidR="004F5E2C" w:rsidRPr="006829B7">
              <w:rPr>
                <w:rFonts w:ascii="Times New Roman" w:hAnsi="Times New Roman"/>
              </w:rPr>
              <w:t>Gephi</w:t>
            </w:r>
            <w:proofErr w:type="spellEnd"/>
            <w:r w:rsidR="004F5E2C" w:rsidRPr="006829B7">
              <w:rPr>
                <w:rFonts w:ascii="Times New Roman" w:hAnsi="Times New Roman"/>
              </w:rPr>
              <w:t>, R.</w:t>
            </w:r>
            <w:r w:rsidRPr="006829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AE06F9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AE06F9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AE06F9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AE06F9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</w:tr>
      <w:tr w:rsidR="00AE06F9" w:rsidRPr="006829B7">
        <w:trPr>
          <w:trHeight w:val="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06F9" w:rsidRPr="006829B7" w:rsidRDefault="00AE06F9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AE06F9" w:rsidP="00893027">
            <w:pPr>
              <w:spacing w:after="0"/>
              <w:rPr>
                <w:rFonts w:ascii="Times New Roman" w:hAnsi="Times New Roman"/>
              </w:rPr>
            </w:pPr>
            <w:r w:rsidRPr="006829B7">
              <w:rPr>
                <w:rFonts w:ascii="Times New Roman" w:hAnsi="Times New Roman"/>
              </w:rPr>
              <w:t xml:space="preserve">Network in </w:t>
            </w:r>
            <w:proofErr w:type="spellStart"/>
            <w:r w:rsidRPr="006829B7">
              <w:rPr>
                <w:rFonts w:ascii="Times New Roman" w:hAnsi="Times New Roman"/>
              </w:rPr>
              <w:t>bibliometrics</w:t>
            </w:r>
            <w:proofErr w:type="spellEnd"/>
            <w:r w:rsidRPr="006829B7">
              <w:rPr>
                <w:rFonts w:ascii="Times New Roman" w:hAnsi="Times New Roman"/>
              </w:rPr>
              <w:t>: using SNA for bibli</w:t>
            </w:r>
            <w:r w:rsidR="00DD3E51" w:rsidRPr="006829B7">
              <w:rPr>
                <w:rFonts w:ascii="Times New Roman" w:hAnsi="Times New Roman"/>
              </w:rPr>
              <w:t>o</w:t>
            </w:r>
            <w:r w:rsidRPr="006829B7">
              <w:rPr>
                <w:rFonts w:ascii="Times New Roman" w:hAnsi="Times New Roman"/>
              </w:rPr>
              <w:t xml:space="preserve">graphic search and analysis. Software: </w:t>
            </w:r>
            <w:proofErr w:type="spellStart"/>
            <w:r w:rsidRPr="006829B7">
              <w:rPr>
                <w:rFonts w:ascii="Times New Roman" w:hAnsi="Times New Roman"/>
              </w:rPr>
              <w:t>VosViewer</w:t>
            </w:r>
            <w:proofErr w:type="spellEnd"/>
            <w:r w:rsidRPr="006829B7">
              <w:rPr>
                <w:rFonts w:ascii="Times New Roman" w:hAnsi="Times New Roman"/>
              </w:rPr>
              <w:t xml:space="preserve"> and </w:t>
            </w:r>
            <w:proofErr w:type="spellStart"/>
            <w:r w:rsidRPr="006829B7">
              <w:rPr>
                <w:rFonts w:ascii="Times New Roman" w:hAnsi="Times New Roman"/>
              </w:rPr>
              <w:t>CitNetExplorer</w:t>
            </w:r>
            <w:proofErr w:type="spellEnd"/>
            <w:r w:rsidRPr="006829B7">
              <w:rPr>
                <w:rFonts w:ascii="Times New Roman" w:hAnsi="Times New Roman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AE06F9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AE06F9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AE06F9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AE06F9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AE06F9" w:rsidRPr="006829B7">
        <w:trPr>
          <w:trHeight w:val="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06F9" w:rsidRPr="006829B7" w:rsidRDefault="00AE06F9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DD3E51" w:rsidP="004F5E2C">
            <w:pPr>
              <w:spacing w:after="0"/>
              <w:rPr>
                <w:rFonts w:ascii="Times New Roman" w:hAnsi="Times New Roman"/>
              </w:rPr>
            </w:pPr>
            <w:r w:rsidRPr="006829B7">
              <w:rPr>
                <w:rFonts w:ascii="Times New Roman" w:hAnsi="Times New Roman"/>
              </w:rPr>
              <w:t xml:space="preserve">Network theory and applications. Network models. </w:t>
            </w:r>
            <w:r w:rsidR="004F5E2C" w:rsidRPr="006829B7">
              <w:rPr>
                <w:rFonts w:ascii="Times New Roman" w:hAnsi="Times New Roman"/>
              </w:rPr>
              <w:t xml:space="preserve">Software: </w:t>
            </w:r>
            <w:proofErr w:type="spellStart"/>
            <w:r w:rsidR="004F5E2C" w:rsidRPr="006829B7">
              <w:rPr>
                <w:rFonts w:ascii="Times New Roman" w:hAnsi="Times New Roman"/>
              </w:rPr>
              <w:t>Pajek</w:t>
            </w:r>
            <w:proofErr w:type="spellEnd"/>
            <w:r w:rsidR="004F5E2C" w:rsidRPr="006829B7">
              <w:rPr>
                <w:rFonts w:ascii="Times New Roman" w:hAnsi="Times New Roman"/>
              </w:rPr>
              <w:t xml:space="preserve">,  </w:t>
            </w:r>
            <w:proofErr w:type="spellStart"/>
            <w:r w:rsidR="004F5E2C" w:rsidRPr="006829B7">
              <w:rPr>
                <w:rFonts w:ascii="Times New Roman" w:hAnsi="Times New Roman"/>
              </w:rPr>
              <w:t>Gephi</w:t>
            </w:r>
            <w:proofErr w:type="spellEnd"/>
            <w:r w:rsidR="004F5E2C" w:rsidRPr="006829B7">
              <w:rPr>
                <w:rFonts w:ascii="Times New Roman" w:hAnsi="Times New Roman"/>
              </w:rPr>
              <w:t>, R.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AE06F9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AE06F9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AE06F9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AE06F9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</w:tr>
      <w:tr w:rsidR="00AE06F9" w:rsidRPr="006829B7">
        <w:trPr>
          <w:trHeight w:val="40"/>
        </w:trPr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06F9" w:rsidRPr="006829B7" w:rsidRDefault="00AE06F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</w:rPr>
              <w:t>Total study hours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AE06F9" w:rsidRPr="006829B7" w:rsidRDefault="00AE06F9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AE06F9" w:rsidRPr="006829B7" w:rsidRDefault="00AE06F9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AE06F9" w:rsidRPr="006829B7" w:rsidRDefault="00AE06F9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AE06F9" w:rsidRPr="006829B7" w:rsidRDefault="00AE06F9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</w:tr>
      <w:tr w:rsidR="001965BD" w:rsidRPr="006829B7">
        <w:trPr>
          <w:trHeight w:val="540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Indicative Assessment Methods and Strategy 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AE06F9" w:rsidP="00AE06F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hAnsi="Times New Roman"/>
                <w:sz w:val="24"/>
                <w:szCs w:val="24"/>
              </w:rPr>
              <w:t>Cumulative grade for the course will be based on the following criteria: class attendance, preparation and participation in class discussions (35% of the final grade), individual project (written essay) with oral presentation (35%), final written test (30% of the final grade). Final grade is equal to Cumulative grade (no final exam).</w:t>
            </w:r>
          </w:p>
        </w:tc>
      </w:tr>
      <w:tr w:rsidR="001965BD" w:rsidRPr="006829B7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Readings / Indicative Learning Resources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2330" w:rsidRPr="002B0B40" w:rsidRDefault="00B82330" w:rsidP="00B823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Mandatory</w:t>
            </w:r>
          </w:p>
          <w:p w:rsidR="00B82330" w:rsidRPr="002B0B40" w:rsidRDefault="00B82330" w:rsidP="00B823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82330">
              <w:rPr>
                <w:rFonts w:ascii="Times New Roman" w:hAnsi="Times New Roman" w:cs="Times New Roman"/>
                <w:sz w:val="24"/>
                <w:szCs w:val="24"/>
              </w:rPr>
              <w:t>Encyclopedia of Social Network Analysis and Mining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 </w:t>
            </w:r>
            <w:hyperlink r:id="rId8" w:history="1">
              <w:r w:rsidRPr="007026B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https://link.springer.com/referencework/10.1007%2F978-1-4614-7163-9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330" w:rsidRPr="002B0B40" w:rsidRDefault="00B82330" w:rsidP="00B823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82330" w:rsidRPr="002B0B40" w:rsidRDefault="00B82330" w:rsidP="00B823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Optional</w:t>
            </w:r>
          </w:p>
          <w:p w:rsidR="00B82330" w:rsidRPr="00B82330" w:rsidRDefault="00B82330" w:rsidP="00B8233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>Kadry</w:t>
            </w:r>
            <w:proofErr w:type="spellEnd"/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>Seifedine</w:t>
            </w:r>
            <w:proofErr w:type="spellEnd"/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>, and Mohammed Z. Al-</w:t>
            </w:r>
            <w:proofErr w:type="spellStart"/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>Taie</w:t>
            </w:r>
            <w:proofErr w:type="spellEnd"/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Social Network </w:t>
            </w:r>
            <w:proofErr w:type="gramStart"/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>Analysis :</w:t>
            </w:r>
            <w:proofErr w:type="gramEnd"/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Introduction with an Extensive Implementation to a Large-Scale Online Network Using </w:t>
            </w:r>
            <w:proofErr w:type="spellStart"/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>Pajek</w:t>
            </w:r>
            <w:proofErr w:type="spellEnd"/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Bentham Science Publishers, 2014. </w:t>
            </w:r>
            <w:proofErr w:type="spellStart"/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>ProQuest</w:t>
            </w:r>
            <w:proofErr w:type="spellEnd"/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>Ebook</w:t>
            </w:r>
            <w:proofErr w:type="spellEnd"/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Central, </w:t>
            </w:r>
            <w:hyperlink r:id="rId9" w:history="1">
              <w:r w:rsidRPr="007026B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https://ebookcentral.proquest.com/lib/hselibrary-ebooks/detail.action?docID=1610031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12FC" w:rsidRPr="006829B7" w:rsidRDefault="00B82330" w:rsidP="00B8233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Todd Kelsey. Social Networking Spaces. From Facebook to Twitter and Everything In Between A Step-by-Step Introduction to Social Networks for Beginners and Everyone Else (2010) </w:t>
            </w:r>
            <w:proofErr w:type="spellStart"/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>Apress</w:t>
            </w:r>
            <w:proofErr w:type="spellEnd"/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</w:t>
            </w:r>
            <w:proofErr w:type="spellEnd"/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0" w:anchor="toc" w:history="1">
              <w:r w:rsidRPr="007026B5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https://link.springer.com/book/10.1007%2F978-1-4302-2597-3#toc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5BD" w:rsidRPr="006829B7">
        <w:trPr>
          <w:trHeight w:val="20"/>
        </w:trPr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Indicative Self- Study Strategies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1965BD" w:rsidRPr="006829B7" w:rsidRDefault="00DE41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+/–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1965BD" w:rsidRPr="006829B7" w:rsidRDefault="00DE41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EF414A" w:rsidRPr="006829B7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Reading for seminars / tutorials (lecture materials, mandatory and optional resources)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</w:tr>
      <w:tr w:rsidR="00EF414A" w:rsidRPr="006829B7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Assignments for seminars / tutorials / labs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EF414A" w:rsidRPr="006829B7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E-learning / distance learning (MOOC / LMS)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EF414A" w:rsidRPr="006829B7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Fieldwork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EF414A" w:rsidRPr="006829B7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Project work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</w:tr>
      <w:tr w:rsidR="00EF414A" w:rsidRPr="006829B7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Other (please specify)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EF414A" w:rsidRPr="006829B7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 for the exam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1965BD" w:rsidRPr="006829B7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Support for the Course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support for the course is provided via LMS, where students can find: guidelines and recommendations for doing the course; guidelines and recommendations for self-study; samples of assessment materials</w:t>
            </w:r>
          </w:p>
        </w:tc>
      </w:tr>
      <w:tr w:rsidR="001965BD" w:rsidRPr="006829B7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Facilities, Equipment and Software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1C2D" w:rsidRPr="006829B7" w:rsidRDefault="00D01C2D" w:rsidP="00D01C2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Facilities, Equipment and Software</w:t>
            </w: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01C2D" w:rsidRPr="006829B7" w:rsidRDefault="00D01C2D" w:rsidP="00D01C2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SNA software: </w:t>
            </w:r>
            <w:proofErr w:type="spellStart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Gephi</w:t>
            </w:r>
            <w:proofErr w:type="spellEnd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Pajek</w:t>
            </w:r>
            <w:proofErr w:type="spellEnd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 </w:t>
            </w:r>
            <w:r w:rsidR="00F363BA"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packages</w:t>
            </w:r>
            <w:r w:rsidR="00F363BA"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network analysis)</w:t>
            </w:r>
          </w:p>
          <w:p w:rsidR="001965BD" w:rsidRPr="006829B7" w:rsidRDefault="00D01C2D" w:rsidP="00D01C2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Bibliometric</w:t>
            </w:r>
            <w:proofErr w:type="spellEnd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SNA software: </w:t>
            </w:r>
            <w:proofErr w:type="spellStart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VosViewer</w:t>
            </w:r>
            <w:proofErr w:type="spellEnd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CitNetExplorer</w:t>
            </w:r>
            <w:proofErr w:type="spellEnd"/>
          </w:p>
        </w:tc>
      </w:tr>
      <w:tr w:rsidR="001965BD" w:rsidRPr="006829B7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Course Instructor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01C2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Valeria </w:t>
            </w:r>
            <w:proofErr w:type="spellStart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Ivaniushina</w:t>
            </w:r>
            <w:proofErr w:type="spellEnd"/>
          </w:p>
        </w:tc>
      </w:tr>
    </w:tbl>
    <w:p w:rsidR="001965BD" w:rsidRPr="005646A3" w:rsidRDefault="001965BD" w:rsidP="0076205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965BD" w:rsidRPr="005646A3" w:rsidSect="001965B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D7" w:rsidRDefault="006669D7" w:rsidP="00EA58F6">
      <w:pPr>
        <w:spacing w:after="0" w:line="240" w:lineRule="auto"/>
      </w:pPr>
      <w:r>
        <w:separator/>
      </w:r>
    </w:p>
  </w:endnote>
  <w:endnote w:type="continuationSeparator" w:id="0">
    <w:p w:rsidR="006669D7" w:rsidRDefault="006669D7" w:rsidP="00EA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D7" w:rsidRDefault="006669D7" w:rsidP="00EA58F6">
      <w:pPr>
        <w:spacing w:after="0" w:line="240" w:lineRule="auto"/>
      </w:pPr>
      <w:r>
        <w:separator/>
      </w:r>
    </w:p>
  </w:footnote>
  <w:footnote w:type="continuationSeparator" w:id="0">
    <w:p w:rsidR="006669D7" w:rsidRDefault="006669D7" w:rsidP="00EA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EBE"/>
    <w:multiLevelType w:val="multilevel"/>
    <w:tmpl w:val="8EEC9D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A16FF"/>
    <w:multiLevelType w:val="hybridMultilevel"/>
    <w:tmpl w:val="DCD6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91BC9"/>
    <w:multiLevelType w:val="multilevel"/>
    <w:tmpl w:val="56A219E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049170F"/>
    <w:multiLevelType w:val="hybridMultilevel"/>
    <w:tmpl w:val="F6CC7B7C"/>
    <w:lvl w:ilvl="0" w:tplc="BDD65F3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531E2"/>
    <w:multiLevelType w:val="multilevel"/>
    <w:tmpl w:val="E7983F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55AD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0B3AFF"/>
    <w:multiLevelType w:val="hybridMultilevel"/>
    <w:tmpl w:val="EB5A65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4E323D"/>
    <w:multiLevelType w:val="multilevel"/>
    <w:tmpl w:val="14101D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4BC2A7D"/>
    <w:multiLevelType w:val="hybridMultilevel"/>
    <w:tmpl w:val="6DE0C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5BD"/>
    <w:rsid w:val="00026700"/>
    <w:rsid w:val="000B31FA"/>
    <w:rsid w:val="000D5D01"/>
    <w:rsid w:val="001431A4"/>
    <w:rsid w:val="001960C6"/>
    <w:rsid w:val="001965BD"/>
    <w:rsid w:val="00226D67"/>
    <w:rsid w:val="00227875"/>
    <w:rsid w:val="00295EC2"/>
    <w:rsid w:val="002B0B40"/>
    <w:rsid w:val="002B6E21"/>
    <w:rsid w:val="002B7FFD"/>
    <w:rsid w:val="00300935"/>
    <w:rsid w:val="003409DD"/>
    <w:rsid w:val="00347A0D"/>
    <w:rsid w:val="00360DC8"/>
    <w:rsid w:val="003C4D1E"/>
    <w:rsid w:val="003E7B58"/>
    <w:rsid w:val="0041743E"/>
    <w:rsid w:val="00454719"/>
    <w:rsid w:val="0046046B"/>
    <w:rsid w:val="00484209"/>
    <w:rsid w:val="004B7697"/>
    <w:rsid w:val="004C12FC"/>
    <w:rsid w:val="004F5E2C"/>
    <w:rsid w:val="00516A47"/>
    <w:rsid w:val="00536AC9"/>
    <w:rsid w:val="005646A3"/>
    <w:rsid w:val="00594082"/>
    <w:rsid w:val="005A0D39"/>
    <w:rsid w:val="006669D7"/>
    <w:rsid w:val="00671F0F"/>
    <w:rsid w:val="006829B7"/>
    <w:rsid w:val="0069317D"/>
    <w:rsid w:val="006A75EF"/>
    <w:rsid w:val="006B5A40"/>
    <w:rsid w:val="006F3E60"/>
    <w:rsid w:val="0073456F"/>
    <w:rsid w:val="00741710"/>
    <w:rsid w:val="00754AE4"/>
    <w:rsid w:val="00757782"/>
    <w:rsid w:val="0076205F"/>
    <w:rsid w:val="00762CF0"/>
    <w:rsid w:val="0076710B"/>
    <w:rsid w:val="0077054B"/>
    <w:rsid w:val="00793CFD"/>
    <w:rsid w:val="007E72A2"/>
    <w:rsid w:val="00913DEE"/>
    <w:rsid w:val="0093460A"/>
    <w:rsid w:val="009B55A8"/>
    <w:rsid w:val="00A058BA"/>
    <w:rsid w:val="00A31A8C"/>
    <w:rsid w:val="00AD471E"/>
    <w:rsid w:val="00AE06F9"/>
    <w:rsid w:val="00B4490A"/>
    <w:rsid w:val="00B544DA"/>
    <w:rsid w:val="00B56E87"/>
    <w:rsid w:val="00B75BC9"/>
    <w:rsid w:val="00B82330"/>
    <w:rsid w:val="00BF3441"/>
    <w:rsid w:val="00BF6B0C"/>
    <w:rsid w:val="00C92CF5"/>
    <w:rsid w:val="00C938FF"/>
    <w:rsid w:val="00CC437D"/>
    <w:rsid w:val="00CE1AE4"/>
    <w:rsid w:val="00D01C2D"/>
    <w:rsid w:val="00D4073D"/>
    <w:rsid w:val="00D6700C"/>
    <w:rsid w:val="00DC2C07"/>
    <w:rsid w:val="00DD3E51"/>
    <w:rsid w:val="00DE4103"/>
    <w:rsid w:val="00E04223"/>
    <w:rsid w:val="00E50C0B"/>
    <w:rsid w:val="00EA3F68"/>
    <w:rsid w:val="00EA58F6"/>
    <w:rsid w:val="00ED40CC"/>
    <w:rsid w:val="00EF414A"/>
    <w:rsid w:val="00F067A3"/>
    <w:rsid w:val="00F363BA"/>
    <w:rsid w:val="00F500C1"/>
    <w:rsid w:val="00FA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DA"/>
  </w:style>
  <w:style w:type="paragraph" w:styleId="1">
    <w:name w:val="heading 1"/>
    <w:basedOn w:val="10"/>
    <w:next w:val="10"/>
    <w:link w:val="11"/>
    <w:rsid w:val="001965BD"/>
    <w:pPr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10"/>
    <w:next w:val="10"/>
    <w:rsid w:val="001965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65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65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65B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965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65BD"/>
  </w:style>
  <w:style w:type="table" w:customStyle="1" w:styleId="TableNormal">
    <w:name w:val="Table Normal"/>
    <w:rsid w:val="001965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65B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965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65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65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1965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1965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1965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1">
    <w:name w:val="Заголовок 1 Знак"/>
    <w:basedOn w:val="a0"/>
    <w:link w:val="1"/>
    <w:rsid w:val="007E72A2"/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754AE4"/>
    <w:pPr>
      <w:spacing w:after="0" w:line="240" w:lineRule="auto"/>
    </w:pPr>
    <w:rPr>
      <w:rFonts w:cs="Times New Roman"/>
      <w:sz w:val="20"/>
      <w:szCs w:val="20"/>
      <w:lang w:val="ru-RU"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754AE4"/>
    <w:rPr>
      <w:rFonts w:cs="Times New Roman"/>
      <w:sz w:val="20"/>
      <w:szCs w:val="20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9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317D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5646A3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5646A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646A3"/>
    <w:pPr>
      <w:spacing w:after="0" w:line="240" w:lineRule="auto"/>
      <w:ind w:firstLine="709"/>
    </w:pPr>
    <w:rPr>
      <w:rFonts w:ascii="Times New Roman" w:hAnsi="Times New Roman" w:cs="Times New Roman"/>
      <w:sz w:val="20"/>
      <w:szCs w:val="20"/>
      <w:lang w:val="ru-RU"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646A3"/>
    <w:rPr>
      <w:rFonts w:ascii="Times New Roman" w:hAnsi="Times New Roman" w:cs="Times New Roman"/>
      <w:sz w:val="20"/>
      <w:szCs w:val="20"/>
      <w:lang w:val="ru-RU" w:eastAsia="en-US"/>
    </w:rPr>
  </w:style>
  <w:style w:type="character" w:styleId="af2">
    <w:name w:val="footnote reference"/>
    <w:basedOn w:val="a0"/>
    <w:uiPriority w:val="99"/>
    <w:semiHidden/>
    <w:unhideWhenUsed/>
    <w:rsid w:val="003409DD"/>
    <w:rPr>
      <w:vertAlign w:val="superscript"/>
    </w:rPr>
  </w:style>
  <w:style w:type="paragraph" w:customStyle="1" w:styleId="Default">
    <w:name w:val="Default"/>
    <w:rsid w:val="003409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referencework/10.1007%2F978-1-4614-7163-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nk.springer.com/book/10.1007%2F978-1-4302-2597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bookcentral.proquest.com/lib/hselibrary-ebooks/detail.action?docID=1610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Екатерина Андреевна</dc:creator>
  <cp:lastModifiedBy>Студент НИУ ВШЭ</cp:lastModifiedBy>
  <cp:revision>51</cp:revision>
  <cp:lastPrinted>2019-02-01T10:55:00Z</cp:lastPrinted>
  <dcterms:created xsi:type="dcterms:W3CDTF">2019-01-21T10:15:00Z</dcterms:created>
  <dcterms:modified xsi:type="dcterms:W3CDTF">2019-02-28T08:37:00Z</dcterms:modified>
</cp:coreProperties>
</file>