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CD" w:rsidRDefault="004C6BCD" w:rsidP="003008A2"/>
    <w:p w:rsidR="004C6BCD" w:rsidRPr="00690434" w:rsidRDefault="004C6BCD" w:rsidP="004C6BCD">
      <w:pPr>
        <w:spacing w:line="240" w:lineRule="auto"/>
        <w:jc w:val="center"/>
        <w:rPr>
          <w:rFonts w:eastAsiaTheme="minorHAnsi"/>
          <w:b/>
          <w:szCs w:val="24"/>
          <w:lang w:val="en-US"/>
        </w:rPr>
      </w:pPr>
      <w:r>
        <w:rPr>
          <w:rFonts w:eastAsiaTheme="minorHAnsi"/>
          <w:b/>
          <w:szCs w:val="24"/>
          <w:lang w:val="en-US"/>
        </w:rPr>
        <w:t>Course Syllabus</w:t>
      </w:r>
    </w:p>
    <w:p w:rsidR="004C6BCD" w:rsidRDefault="004C6BCD" w:rsidP="004C6BCD">
      <w:pPr>
        <w:spacing w:line="240" w:lineRule="auto"/>
        <w:jc w:val="center"/>
        <w:rPr>
          <w:rFonts w:eastAsiaTheme="minorHAnsi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902"/>
        <w:gridCol w:w="1803"/>
        <w:gridCol w:w="784"/>
        <w:gridCol w:w="1080"/>
        <w:gridCol w:w="1225"/>
        <w:gridCol w:w="483"/>
        <w:gridCol w:w="785"/>
        <w:gridCol w:w="1669"/>
      </w:tblGrid>
      <w:tr w:rsidR="009032F4" w:rsidRPr="00A86765" w:rsidTr="00A86765"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032F4" w:rsidRDefault="009032F4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bookmarkStart w:id="0" w:name="_GoBack"/>
            <w:r>
              <w:rPr>
                <w:rFonts w:eastAsiaTheme="minorHAnsi"/>
                <w:szCs w:val="24"/>
                <w:lang w:val="en-US"/>
              </w:rPr>
              <w:t>Title of the course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32F4" w:rsidRPr="000D4A8C" w:rsidRDefault="00012FA4" w:rsidP="008D02CB">
            <w:pPr>
              <w:spacing w:line="240" w:lineRule="auto"/>
              <w:rPr>
                <w:rFonts w:eastAsiaTheme="minorHAnsi"/>
                <w:b/>
                <w:szCs w:val="24"/>
                <w:lang w:val="en-US"/>
              </w:rPr>
            </w:pPr>
            <w:r w:rsidRPr="00012FA4">
              <w:rPr>
                <w:rFonts w:eastAsiaTheme="minorHAnsi"/>
                <w:szCs w:val="24"/>
                <w:lang w:val="en-US"/>
              </w:rPr>
              <w:t xml:space="preserve">Youth Participation </w:t>
            </w:r>
            <w:r w:rsidRPr="000837B0">
              <w:rPr>
                <w:rFonts w:eastAsiaTheme="minorHAnsi"/>
                <w:szCs w:val="24"/>
                <w:lang w:val="en-US"/>
              </w:rPr>
              <w:t xml:space="preserve"> </w:t>
            </w:r>
            <w:r w:rsidRPr="00012FA4">
              <w:rPr>
                <w:rFonts w:eastAsiaTheme="minorHAnsi"/>
                <w:szCs w:val="24"/>
                <w:lang w:val="en-US"/>
              </w:rPr>
              <w:t>(offered in English)</w:t>
            </w:r>
          </w:p>
        </w:tc>
      </w:tr>
      <w:tr w:rsidR="009032F4" w:rsidRPr="00012FA4" w:rsidTr="00A86765"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032F4" w:rsidRDefault="009032F4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 xml:space="preserve">Title of the Academic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Programme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32F4" w:rsidRPr="000D4A8C" w:rsidRDefault="009032F4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 w:rsidRPr="00E444E0">
              <w:rPr>
                <w:rFonts w:eastAsia="Times New Roman"/>
                <w:szCs w:val="24"/>
                <w:lang w:val="en-US" w:eastAsia="ru-RU"/>
              </w:rPr>
              <w:t>Modern Social Analysis</w:t>
            </w:r>
          </w:p>
        </w:tc>
      </w:tr>
      <w:tr w:rsidR="009032F4" w:rsidRPr="006E2F0C" w:rsidTr="00A86765"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032F4" w:rsidRDefault="009032F4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 xml:space="preserve">Type of the course 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32F4" w:rsidRPr="000D4A8C" w:rsidRDefault="009032F4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Elective</w:t>
            </w:r>
          </w:p>
        </w:tc>
      </w:tr>
      <w:tr w:rsidR="009032F4" w:rsidRPr="00A86765" w:rsidTr="00A86765">
        <w:trPr>
          <w:trHeight w:val="230"/>
        </w:trPr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032F4" w:rsidRDefault="009032F4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Prerequisites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32F4" w:rsidRDefault="009032F4" w:rsidP="00012FA4">
            <w:pPr>
              <w:pStyle w:val="a"/>
              <w:numPr>
                <w:ilvl w:val="0"/>
                <w:numId w:val="0"/>
              </w:numPr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Methodology and methods of sociological research</w:t>
            </w:r>
          </w:p>
          <w:p w:rsidR="009032F4" w:rsidRPr="000D4A8C" w:rsidRDefault="009032F4" w:rsidP="00012FA4">
            <w:pPr>
              <w:pStyle w:val="a"/>
              <w:numPr>
                <w:ilvl w:val="0"/>
                <w:numId w:val="0"/>
              </w:numPr>
              <w:ind w:left="1429"/>
              <w:rPr>
                <w:rFonts w:eastAsiaTheme="minorHAnsi"/>
                <w:szCs w:val="24"/>
                <w:lang w:val="en-US"/>
              </w:rPr>
            </w:pPr>
          </w:p>
        </w:tc>
      </w:tr>
      <w:tr w:rsidR="004C6BCD" w:rsidRPr="00C42A27" w:rsidTr="00A86765">
        <w:trPr>
          <w:trHeight w:val="230"/>
        </w:trPr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6BCD" w:rsidRDefault="004C6BCD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ECTS workload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6BCD" w:rsidRPr="009032F4" w:rsidRDefault="009032F4" w:rsidP="008D02CB">
            <w:pPr>
              <w:spacing w:line="240" w:lineRule="auto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4</w:t>
            </w:r>
          </w:p>
        </w:tc>
      </w:tr>
      <w:tr w:rsidR="004C6BCD" w:rsidTr="00A86765">
        <w:trPr>
          <w:trHeight w:val="217"/>
        </w:trPr>
        <w:tc>
          <w:tcPr>
            <w:tcW w:w="1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6BCD" w:rsidRDefault="004C6BCD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Total indicative study hours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6BCD" w:rsidRDefault="004C6BCD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Directed Study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D" w:rsidRDefault="004C6BCD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D" w:rsidRDefault="004C6BCD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Total</w:t>
            </w:r>
          </w:p>
        </w:tc>
      </w:tr>
      <w:tr w:rsidR="004C6BCD" w:rsidTr="00A86765">
        <w:trPr>
          <w:trHeight w:val="216"/>
        </w:trPr>
        <w:tc>
          <w:tcPr>
            <w:tcW w:w="1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CD" w:rsidRDefault="004C6BCD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6BCD" w:rsidRDefault="009032F4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</w:rPr>
              <w:t>3</w:t>
            </w:r>
            <w:r w:rsidR="004C6BCD">
              <w:rPr>
                <w:rFonts w:eastAsiaTheme="minorHAnsi"/>
                <w:szCs w:val="24"/>
                <w:lang w:val="en-US"/>
              </w:rPr>
              <w:t>2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CD" w:rsidRPr="009032F4" w:rsidRDefault="004C6BCD" w:rsidP="009032F4">
            <w:pPr>
              <w:spacing w:line="240" w:lineRule="auto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  <w:lang w:val="en-US"/>
              </w:rPr>
              <w:t>1</w:t>
            </w:r>
            <w:r w:rsidR="009032F4">
              <w:rPr>
                <w:rFonts w:eastAsiaTheme="minorHAnsi"/>
                <w:szCs w:val="24"/>
              </w:rPr>
              <w:t>20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CD" w:rsidRPr="009032F4" w:rsidRDefault="004C6BCD" w:rsidP="009032F4">
            <w:pPr>
              <w:spacing w:line="240" w:lineRule="auto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  <w:lang w:val="en-US"/>
              </w:rPr>
              <w:t>1</w:t>
            </w:r>
            <w:r w:rsidR="009032F4">
              <w:rPr>
                <w:rFonts w:eastAsiaTheme="minorHAnsi"/>
                <w:szCs w:val="24"/>
              </w:rPr>
              <w:t>52</w:t>
            </w:r>
          </w:p>
        </w:tc>
      </w:tr>
      <w:tr w:rsidR="000E334C" w:rsidRPr="00A86765" w:rsidTr="00A86765"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Course Overview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34C" w:rsidRDefault="000E334C" w:rsidP="008D02CB">
            <w:pPr>
              <w:jc w:val="both"/>
              <w:rPr>
                <w:rFonts w:eastAsiaTheme="minorHAnsi"/>
                <w:szCs w:val="24"/>
                <w:lang w:val="en-US"/>
              </w:rPr>
            </w:pPr>
            <w:r w:rsidRPr="00187DF2">
              <w:rPr>
                <w:szCs w:val="24"/>
                <w:lang w:val="en-US"/>
              </w:rPr>
              <w:t xml:space="preserve">The </w:t>
            </w:r>
            <w:r>
              <w:rPr>
                <w:szCs w:val="24"/>
                <w:lang w:val="en-US"/>
              </w:rPr>
              <w:t>aim</w:t>
            </w:r>
            <w:r w:rsidRPr="00187DF2">
              <w:rPr>
                <w:szCs w:val="24"/>
                <w:lang w:val="en-US"/>
              </w:rPr>
              <w:t xml:space="preserve"> o</w:t>
            </w:r>
            <w:r>
              <w:rPr>
                <w:szCs w:val="24"/>
                <w:lang w:val="en-US"/>
              </w:rPr>
              <w:t xml:space="preserve">f this course is to discuss the concept of youth civic participation and civic engagement, to analyze youth citizenship in Russia, and to develop the recommendation for practitioners  </w:t>
            </w:r>
          </w:p>
        </w:tc>
      </w:tr>
      <w:tr w:rsidR="000E334C" w:rsidRPr="00A86765" w:rsidTr="00A86765"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Intended Learning Outcomes (ILO)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34C" w:rsidRDefault="000E334C" w:rsidP="00DE64B0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After the course students should: </w:t>
            </w:r>
          </w:p>
          <w:p w:rsidR="000E334C" w:rsidRPr="00A119DF" w:rsidRDefault="000E334C" w:rsidP="00DE64B0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A119DF">
              <w:rPr>
                <w:lang w:val="en-US"/>
              </w:rPr>
              <w:t xml:space="preserve">now </w:t>
            </w:r>
            <w:r>
              <w:rPr>
                <w:lang w:val="en-US"/>
              </w:rPr>
              <w:t xml:space="preserve">the theoretical approaches to understanding citizenship, civic engagement, civic participation;  </w:t>
            </w:r>
          </w:p>
          <w:p w:rsidR="000E334C" w:rsidRPr="00A119DF" w:rsidRDefault="000E334C" w:rsidP="00DE64B0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be a</w:t>
            </w:r>
            <w:r w:rsidRPr="00A119DF">
              <w:rPr>
                <w:szCs w:val="24"/>
                <w:lang w:val="en-US"/>
              </w:rPr>
              <w:t xml:space="preserve">ble to </w:t>
            </w:r>
            <w:r>
              <w:rPr>
                <w:szCs w:val="24"/>
                <w:lang w:val="en-US"/>
              </w:rPr>
              <w:t xml:space="preserve">analyze the civic activism of young people </w:t>
            </w:r>
          </w:p>
          <w:p w:rsidR="000E334C" w:rsidRPr="00C174C5" w:rsidRDefault="000E334C" w:rsidP="004C6BCD">
            <w:pPr>
              <w:pStyle w:val="a4"/>
              <w:numPr>
                <w:ilvl w:val="0"/>
                <w:numId w:val="9"/>
              </w:numPr>
              <w:suppressAutoHyphens w:val="0"/>
              <w:spacing w:line="240" w:lineRule="auto"/>
              <w:rPr>
                <w:szCs w:val="24"/>
                <w:lang w:val="en-GB"/>
              </w:rPr>
            </w:pPr>
            <w:r>
              <w:rPr>
                <w:szCs w:val="24"/>
                <w:lang w:val="en-US"/>
              </w:rPr>
              <w:t>be able to create  the recommendations for development of youth civic engagement</w:t>
            </w:r>
          </w:p>
        </w:tc>
      </w:tr>
      <w:tr w:rsidR="000E334C" w:rsidRPr="00A86765" w:rsidTr="00A86765"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Teaching and Learning Methods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34C" w:rsidRDefault="000E334C" w:rsidP="000E334C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 w:rsidRPr="00A119DF">
              <w:rPr>
                <w:szCs w:val="24"/>
                <w:lang w:val="en-US"/>
              </w:rPr>
              <w:t xml:space="preserve">The course consists of </w:t>
            </w:r>
            <w:r>
              <w:rPr>
                <w:szCs w:val="24"/>
                <w:lang w:val="en-US"/>
              </w:rPr>
              <w:t>32 hours of tutorials</w:t>
            </w:r>
            <w:r w:rsidRPr="00A119DF">
              <w:rPr>
                <w:szCs w:val="24"/>
                <w:lang w:val="en-US"/>
              </w:rPr>
              <w:t xml:space="preserve">. The </w:t>
            </w:r>
            <w:r>
              <w:rPr>
                <w:szCs w:val="24"/>
                <w:lang w:val="en-US"/>
              </w:rPr>
              <w:t>seminars</w:t>
            </w:r>
            <w:r w:rsidRPr="00A119DF">
              <w:rPr>
                <w:szCs w:val="24"/>
                <w:lang w:val="en-US"/>
              </w:rPr>
              <w:t xml:space="preserve"> involve </w:t>
            </w:r>
            <w:r>
              <w:rPr>
                <w:szCs w:val="24"/>
                <w:lang w:val="en-US"/>
              </w:rPr>
              <w:t xml:space="preserve">the discussion of the topics and the </w:t>
            </w:r>
            <w:r w:rsidRPr="00A119DF">
              <w:rPr>
                <w:szCs w:val="24"/>
                <w:lang w:val="en-US"/>
              </w:rPr>
              <w:t xml:space="preserve">student </w:t>
            </w:r>
            <w:r>
              <w:rPr>
                <w:szCs w:val="24"/>
                <w:lang w:val="en-US"/>
              </w:rPr>
              <w:t>work in small groups</w:t>
            </w:r>
            <w:r w:rsidRPr="00A119DF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academic reading</w:t>
            </w:r>
            <w:r w:rsidRPr="00A119DF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 xml:space="preserve">the </w:t>
            </w:r>
            <w:r w:rsidRPr="00A119DF">
              <w:rPr>
                <w:szCs w:val="24"/>
                <w:lang w:val="en-US"/>
              </w:rPr>
              <w:t>a</w:t>
            </w:r>
            <w:r>
              <w:rPr>
                <w:szCs w:val="24"/>
                <w:lang w:val="en-US"/>
              </w:rPr>
              <w:t>na</w:t>
            </w:r>
            <w:r w:rsidRPr="00A119DF">
              <w:rPr>
                <w:szCs w:val="24"/>
                <w:lang w:val="en-US"/>
              </w:rPr>
              <w:t xml:space="preserve">lysis </w:t>
            </w:r>
            <w:r>
              <w:rPr>
                <w:szCs w:val="24"/>
                <w:lang w:val="en-US"/>
              </w:rPr>
              <w:t xml:space="preserve">of empirical data </w:t>
            </w:r>
            <w:r w:rsidRPr="00A119DF">
              <w:rPr>
                <w:szCs w:val="24"/>
                <w:lang w:val="en-US"/>
              </w:rPr>
              <w:t xml:space="preserve">and the </w:t>
            </w:r>
            <w:r>
              <w:rPr>
                <w:szCs w:val="24"/>
                <w:lang w:val="en-US"/>
              </w:rPr>
              <w:t>final</w:t>
            </w:r>
            <w:r w:rsidRPr="00A119DF">
              <w:rPr>
                <w:szCs w:val="24"/>
                <w:lang w:val="en-US"/>
              </w:rPr>
              <w:t xml:space="preserve"> assignment (project).</w:t>
            </w:r>
          </w:p>
        </w:tc>
      </w:tr>
      <w:tr w:rsidR="000E334C" w:rsidRPr="00A86765" w:rsidTr="00A8676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Content and Structure of the Course</w:t>
            </w:r>
          </w:p>
        </w:tc>
      </w:tr>
      <w:tr w:rsidR="000E334C" w:rsidRPr="006E2F0C" w:rsidTr="00A86765">
        <w:trPr>
          <w:trHeight w:val="45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34C" w:rsidRPr="00C47752" w:rsidRDefault="000E334C" w:rsidP="008D02CB">
            <w:pPr>
              <w:spacing w:line="240" w:lineRule="auto"/>
              <w:rPr>
                <w:rFonts w:eastAsiaTheme="minorHAnsi"/>
                <w:b/>
                <w:szCs w:val="24"/>
                <w:lang w:val="en-US"/>
              </w:rPr>
            </w:pPr>
            <w:r w:rsidRPr="00C174C5">
              <w:rPr>
                <w:b/>
                <w:lang w:val="en-US"/>
              </w:rPr>
              <w:t>№</w:t>
            </w:r>
          </w:p>
        </w:tc>
        <w:tc>
          <w:tcPr>
            <w:tcW w:w="1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E334C" w:rsidRPr="00C47752" w:rsidRDefault="000E334C" w:rsidP="008D02CB">
            <w:pPr>
              <w:spacing w:line="240" w:lineRule="auto"/>
              <w:jc w:val="center"/>
              <w:rPr>
                <w:rFonts w:eastAsiaTheme="minorHAnsi"/>
                <w:b/>
                <w:szCs w:val="24"/>
                <w:lang w:val="en-US"/>
              </w:rPr>
            </w:pPr>
            <w:r w:rsidRPr="00C47752">
              <w:rPr>
                <w:rFonts w:eastAsiaTheme="minorHAnsi"/>
                <w:b/>
                <w:lang w:val="en-US"/>
              </w:rPr>
              <w:t>Topic / Course Chapter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E334C" w:rsidRPr="00C47752" w:rsidRDefault="000E334C" w:rsidP="008D02CB">
            <w:pPr>
              <w:jc w:val="center"/>
              <w:rPr>
                <w:rFonts w:eastAsiaTheme="minorHAnsi"/>
                <w:b/>
                <w:lang w:val="en-US"/>
              </w:rPr>
            </w:pPr>
            <w:r w:rsidRPr="00C47752">
              <w:rPr>
                <w:rFonts w:eastAsiaTheme="minorHAnsi"/>
                <w:b/>
                <w:lang w:val="en-US"/>
              </w:rPr>
              <w:t>Total</w:t>
            </w:r>
          </w:p>
          <w:p w:rsidR="000E334C" w:rsidRPr="00C47752" w:rsidRDefault="000E334C" w:rsidP="008D02CB">
            <w:pPr>
              <w:spacing w:line="240" w:lineRule="auto"/>
              <w:jc w:val="center"/>
              <w:rPr>
                <w:rFonts w:eastAsiaTheme="minorHAnsi"/>
                <w:b/>
                <w:szCs w:val="24"/>
                <w:lang w:val="en-US"/>
              </w:rPr>
            </w:pP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E334C" w:rsidRPr="00C47752" w:rsidRDefault="000E334C" w:rsidP="008D02CB">
            <w:pPr>
              <w:spacing w:line="240" w:lineRule="auto"/>
              <w:jc w:val="center"/>
              <w:rPr>
                <w:rFonts w:eastAsiaTheme="minorHAnsi"/>
                <w:b/>
                <w:szCs w:val="24"/>
                <w:lang w:val="en-US"/>
              </w:rPr>
            </w:pPr>
            <w:r w:rsidRPr="00C47752">
              <w:rPr>
                <w:rFonts w:eastAsiaTheme="minorHAnsi"/>
                <w:b/>
                <w:lang w:val="en-US"/>
              </w:rPr>
              <w:t>Directed Study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E334C" w:rsidRPr="00C47752" w:rsidRDefault="000E334C" w:rsidP="008D02CB">
            <w:pPr>
              <w:spacing w:line="240" w:lineRule="auto"/>
              <w:jc w:val="center"/>
              <w:rPr>
                <w:rFonts w:eastAsiaTheme="minorHAnsi"/>
                <w:b/>
                <w:szCs w:val="24"/>
                <w:lang w:val="en-US"/>
              </w:rPr>
            </w:pPr>
            <w:r w:rsidRPr="00C47752">
              <w:rPr>
                <w:rFonts w:eastAsiaTheme="minorHAnsi"/>
                <w:b/>
                <w:lang w:val="en-US"/>
              </w:rPr>
              <w:t>Self-directed Study</w:t>
            </w:r>
          </w:p>
        </w:tc>
      </w:tr>
      <w:tr w:rsidR="000E334C" w:rsidRPr="006E2F0C" w:rsidTr="00A86765">
        <w:trPr>
          <w:trHeight w:val="45"/>
        </w:trPr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</w:p>
        </w:tc>
        <w:tc>
          <w:tcPr>
            <w:tcW w:w="17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E334C" w:rsidRPr="00C47752" w:rsidRDefault="000E334C" w:rsidP="008D02CB">
            <w:pPr>
              <w:spacing w:line="240" w:lineRule="auto"/>
              <w:rPr>
                <w:rFonts w:eastAsiaTheme="minorHAnsi"/>
                <w:b/>
                <w:szCs w:val="24"/>
                <w:lang w:val="en-US"/>
              </w:rPr>
            </w:pPr>
            <w:r w:rsidRPr="00C47752">
              <w:rPr>
                <w:rFonts w:eastAsiaTheme="minorHAnsi"/>
                <w:b/>
                <w:lang w:val="en-US"/>
              </w:rPr>
              <w:t>Lectures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E334C" w:rsidRPr="00C47752" w:rsidRDefault="000E334C" w:rsidP="008D02CB">
            <w:pPr>
              <w:spacing w:line="240" w:lineRule="auto"/>
              <w:rPr>
                <w:rFonts w:eastAsiaTheme="minorHAnsi"/>
                <w:b/>
                <w:szCs w:val="24"/>
                <w:lang w:val="en-US"/>
              </w:rPr>
            </w:pPr>
            <w:r w:rsidRPr="00C47752">
              <w:rPr>
                <w:rFonts w:eastAsiaTheme="minorHAnsi"/>
                <w:b/>
                <w:lang w:val="en-US"/>
              </w:rPr>
              <w:t>Tutorials</w:t>
            </w: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</w:p>
        </w:tc>
      </w:tr>
      <w:tr w:rsidR="000E334C" w:rsidRPr="00690434" w:rsidTr="00A86765">
        <w:trPr>
          <w:trHeight w:val="45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1</w:t>
            </w:r>
          </w:p>
        </w:tc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Theoretical </w:t>
            </w:r>
            <w:r w:rsidRPr="00770B8A">
              <w:rPr>
                <w:szCs w:val="24"/>
                <w:lang w:val="en-US"/>
              </w:rPr>
              <w:t>discussion of the concepts: citizenship, civic engagement, civic participation, civic activism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40</w:t>
            </w:r>
          </w:p>
        </w:tc>
      </w:tr>
      <w:tr w:rsidR="000E334C" w:rsidRPr="00690434" w:rsidTr="00A86765">
        <w:trPr>
          <w:trHeight w:val="45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2</w:t>
            </w:r>
          </w:p>
        </w:tc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34C" w:rsidRDefault="000E334C" w:rsidP="008D02CB">
            <w:pPr>
              <w:tabs>
                <w:tab w:val="left" w:pos="1195"/>
              </w:tabs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</w:t>
            </w:r>
            <w:r w:rsidRPr="00770B8A">
              <w:rPr>
                <w:szCs w:val="24"/>
                <w:lang w:val="en-US"/>
              </w:rPr>
              <w:t xml:space="preserve"> analysis of different experiences of youth engagement in the international context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40</w:t>
            </w:r>
          </w:p>
        </w:tc>
      </w:tr>
      <w:tr w:rsidR="000E334C" w:rsidRPr="00690434" w:rsidTr="00A86765">
        <w:trPr>
          <w:trHeight w:val="45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3</w:t>
            </w:r>
          </w:p>
        </w:tc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</w:t>
            </w:r>
            <w:r w:rsidRPr="00770B8A">
              <w:rPr>
                <w:szCs w:val="24"/>
                <w:lang w:val="en-US"/>
              </w:rPr>
              <w:t xml:space="preserve">he creation of practical recommendations for youth engagement development   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12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40</w:t>
            </w:r>
          </w:p>
        </w:tc>
      </w:tr>
      <w:tr w:rsidR="000E334C" w:rsidRPr="006E2F0C" w:rsidTr="00A86765">
        <w:trPr>
          <w:trHeight w:val="45"/>
        </w:trPr>
        <w:tc>
          <w:tcPr>
            <w:tcW w:w="2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34C" w:rsidRPr="00C47752" w:rsidRDefault="000E334C" w:rsidP="008D02CB">
            <w:pPr>
              <w:spacing w:line="240" w:lineRule="auto"/>
              <w:rPr>
                <w:rFonts w:eastAsiaTheme="minorHAnsi"/>
                <w:b/>
                <w:szCs w:val="24"/>
                <w:lang w:val="en-US"/>
              </w:rPr>
            </w:pPr>
            <w:r>
              <w:rPr>
                <w:rFonts w:eastAsiaTheme="minorHAnsi"/>
                <w:b/>
                <w:lang w:val="en-US"/>
              </w:rPr>
              <w:t>Total study</w:t>
            </w:r>
            <w:r w:rsidRPr="00C47752">
              <w:rPr>
                <w:rFonts w:eastAsiaTheme="minorHAnsi"/>
                <w:b/>
                <w:lang w:val="en-US"/>
              </w:rPr>
              <w:t xml:space="preserve"> hours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152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E334C" w:rsidRPr="000E334C" w:rsidRDefault="000E334C" w:rsidP="008D02CB">
            <w:pPr>
              <w:spacing w:line="240" w:lineRule="auto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32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E334C" w:rsidRDefault="000E334C" w:rsidP="000E334C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120</w:t>
            </w:r>
          </w:p>
        </w:tc>
      </w:tr>
      <w:tr w:rsidR="000E334C" w:rsidRPr="00A86765" w:rsidTr="00A86765">
        <w:trPr>
          <w:trHeight w:val="552"/>
        </w:trPr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 w:rsidRPr="00076E2F">
              <w:rPr>
                <w:rFonts w:eastAsiaTheme="minorHAnsi"/>
                <w:szCs w:val="24"/>
                <w:lang w:val="en-US"/>
              </w:rPr>
              <w:lastRenderedPageBreak/>
              <w:t xml:space="preserve">Indicative Assessment Methods and Strategy 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bookmarkStart w:id="1" w:name="_Hlk536191648"/>
            <w:r>
              <w:rPr>
                <w:rFonts w:eastAsiaTheme="minorHAnsi"/>
                <w:szCs w:val="24"/>
                <w:lang w:val="en-US"/>
              </w:rPr>
              <w:t>In-class participation</w:t>
            </w:r>
          </w:p>
          <w:p w:rsidR="007A0801" w:rsidRDefault="007A0801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Homework</w:t>
            </w:r>
          </w:p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Exam</w:t>
            </w:r>
          </w:p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</w:p>
          <w:p w:rsidR="000E334C" w:rsidRDefault="000E334C" w:rsidP="008D02CB">
            <w:pPr>
              <w:ind w:left="686" w:hanging="567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The final grade is </w:t>
            </w:r>
            <w:r>
              <w:rPr>
                <w:szCs w:val="24"/>
                <w:lang w:val="en-US"/>
              </w:rPr>
              <w:t>calculated on the following way</w:t>
            </w:r>
            <w:r>
              <w:rPr>
                <w:szCs w:val="24"/>
                <w:lang w:val="en-GB"/>
              </w:rPr>
              <w:t>:</w:t>
            </w:r>
          </w:p>
          <w:p w:rsidR="000E334C" w:rsidRDefault="000E334C" w:rsidP="008D02CB">
            <w:pPr>
              <w:ind w:left="686" w:hanging="567"/>
              <w:jc w:val="both"/>
              <w:rPr>
                <w:szCs w:val="24"/>
                <w:lang w:val="en-GB"/>
              </w:rPr>
            </w:pPr>
          </w:p>
          <w:p w:rsidR="000E334C" w:rsidRPr="0072414A" w:rsidRDefault="000E334C" w:rsidP="008D02CB">
            <w:pPr>
              <w:spacing w:before="240"/>
              <w:jc w:val="center"/>
              <w:rPr>
                <w:sz w:val="28"/>
                <w:szCs w:val="28"/>
                <w:lang w:val="en-GB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i/>
                <w:sz w:val="28"/>
                <w:szCs w:val="28"/>
                <w:vertAlign w:val="subscript"/>
                <w:lang w:val="en-US"/>
              </w:rPr>
              <w:t>cumulative</w:t>
            </w:r>
            <w:r w:rsidRPr="0072414A">
              <w:rPr>
                <w:sz w:val="28"/>
                <w:szCs w:val="28"/>
                <w:lang w:val="en-GB"/>
              </w:rPr>
              <w:t>= 0,</w:t>
            </w:r>
            <w:r w:rsidR="007A0801">
              <w:rPr>
                <w:sz w:val="28"/>
                <w:szCs w:val="28"/>
                <w:lang w:val="en-GB"/>
              </w:rPr>
              <w:t>5</w:t>
            </w:r>
            <w:r w:rsidRPr="0072414A">
              <w:rPr>
                <w:lang w:val="en-GB"/>
              </w:rPr>
              <w:t>·</w:t>
            </w:r>
            <w:r w:rsidRPr="0072414A">
              <w:rPr>
                <w:i/>
                <w:sz w:val="28"/>
                <w:szCs w:val="28"/>
                <w:lang w:val="en-GB"/>
              </w:rPr>
              <w:t xml:space="preserve"> 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control1</w:t>
            </w:r>
            <w:r w:rsidRPr="0072414A">
              <w:rPr>
                <w:sz w:val="28"/>
                <w:szCs w:val="28"/>
                <w:lang w:val="en-GB"/>
              </w:rPr>
              <w:t xml:space="preserve"> + 0,</w:t>
            </w:r>
            <w:r w:rsidR="007A0801">
              <w:rPr>
                <w:sz w:val="28"/>
                <w:szCs w:val="28"/>
                <w:lang w:val="en-GB"/>
              </w:rPr>
              <w:t>5</w:t>
            </w:r>
            <w:r w:rsidRPr="0072414A">
              <w:rPr>
                <w:lang w:val="en-GB"/>
              </w:rPr>
              <w:t>·</w:t>
            </w:r>
            <w:r w:rsidRPr="0072414A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control2</w:t>
            </w:r>
            <w:r w:rsidRPr="0072414A">
              <w:rPr>
                <w:i/>
                <w:sz w:val="28"/>
                <w:szCs w:val="28"/>
                <w:lang w:val="en-GB"/>
              </w:rPr>
              <w:t xml:space="preserve"> </w:t>
            </w:r>
          </w:p>
          <w:p w:rsidR="000E334C" w:rsidRPr="0072414A" w:rsidRDefault="000E334C" w:rsidP="008D02CB">
            <w:pPr>
              <w:jc w:val="both"/>
              <w:rPr>
                <w:i/>
                <w:sz w:val="28"/>
                <w:szCs w:val="28"/>
                <w:lang w:val="en-GB"/>
              </w:rPr>
            </w:pPr>
          </w:p>
          <w:p w:rsidR="000E334C" w:rsidRPr="0072414A" w:rsidRDefault="000E334C" w:rsidP="008D02CB">
            <w:pPr>
              <w:jc w:val="both"/>
              <w:rPr>
                <w:lang w:val="en-GB"/>
              </w:rPr>
            </w:pP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control</w:t>
            </w:r>
            <w:r w:rsidRPr="0072414A">
              <w:rPr>
                <w:i/>
                <w:sz w:val="28"/>
                <w:szCs w:val="28"/>
                <w:vertAlign w:val="subscript"/>
                <w:lang w:val="en-GB"/>
              </w:rPr>
              <w:t>1</w:t>
            </w:r>
            <w:r w:rsidRPr="0072414A">
              <w:rPr>
                <w:sz w:val="28"/>
                <w:szCs w:val="28"/>
                <w:lang w:val="en-GB"/>
              </w:rPr>
              <w:t xml:space="preserve"> </w:t>
            </w:r>
            <w:r w:rsidRPr="0072414A">
              <w:rPr>
                <w:lang w:val="en-GB"/>
              </w:rPr>
              <w:t>–</w:t>
            </w:r>
            <w:r w:rsidR="007A0801">
              <w:rPr>
                <w:lang w:val="en-GB"/>
              </w:rPr>
              <w:t xml:space="preserve"> </w:t>
            </w:r>
            <w:r>
              <w:rPr>
                <w:lang w:val="en-US"/>
              </w:rPr>
              <w:t>grade</w:t>
            </w:r>
            <w:r w:rsidRPr="0072414A">
              <w:rPr>
                <w:lang w:val="en-GB"/>
              </w:rPr>
              <w:t xml:space="preserve"> </w:t>
            </w:r>
            <w:r>
              <w:rPr>
                <w:lang w:val="en-US"/>
              </w:rPr>
              <w:t>for</w:t>
            </w:r>
            <w:r w:rsidRPr="0072414A">
              <w:rPr>
                <w:lang w:val="en-GB"/>
              </w:rPr>
              <w:t xml:space="preserve"> </w:t>
            </w:r>
            <w:r w:rsidR="007A0801">
              <w:rPr>
                <w:lang w:val="en-US"/>
              </w:rPr>
              <w:t>homework</w:t>
            </w:r>
            <w:r>
              <w:rPr>
                <w:lang w:val="en-US"/>
              </w:rPr>
              <w:t xml:space="preserve"> </w:t>
            </w:r>
          </w:p>
          <w:p w:rsidR="000E334C" w:rsidRDefault="000E334C" w:rsidP="008D02CB">
            <w:pPr>
              <w:jc w:val="both"/>
              <w:rPr>
                <w:lang w:val="en-GB"/>
              </w:rPr>
            </w:pP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control</w:t>
            </w:r>
            <w:r w:rsidRPr="0072414A">
              <w:rPr>
                <w:i/>
                <w:sz w:val="28"/>
                <w:szCs w:val="28"/>
                <w:vertAlign w:val="subscript"/>
                <w:lang w:val="en-GB"/>
              </w:rPr>
              <w:t>2</w:t>
            </w:r>
            <w:r w:rsidRPr="0072414A">
              <w:rPr>
                <w:sz w:val="28"/>
                <w:szCs w:val="28"/>
                <w:lang w:val="en-GB"/>
              </w:rPr>
              <w:t xml:space="preserve"> </w:t>
            </w:r>
            <w:r w:rsidRPr="0072414A">
              <w:rPr>
                <w:lang w:val="en-GB"/>
              </w:rPr>
              <w:t xml:space="preserve">– </w:t>
            </w:r>
            <w:r>
              <w:rPr>
                <w:lang w:val="en-US"/>
              </w:rPr>
              <w:t>grade for in-class participation</w:t>
            </w:r>
            <w:r w:rsidRPr="0072414A">
              <w:rPr>
                <w:lang w:val="en-GB"/>
              </w:rPr>
              <w:t xml:space="preserve"> </w:t>
            </w:r>
          </w:p>
          <w:p w:rsidR="000E334C" w:rsidRDefault="000E334C" w:rsidP="00653F5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>There is an a</w:t>
            </w:r>
            <w:r w:rsidRPr="00A2298E">
              <w:rPr>
                <w:rFonts w:ascii="Times New Roman" w:hAnsi="Times New Roman"/>
                <w:sz w:val="24"/>
                <w:szCs w:val="24"/>
                <w:lang w:val="en-US" w:eastAsia="en-GB"/>
              </w:rPr>
              <w:t>rithmetic rounding</w:t>
            </w: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of the grades</w:t>
            </w:r>
          </w:p>
          <w:p w:rsidR="007A0801" w:rsidRPr="00A119DF" w:rsidRDefault="007A0801" w:rsidP="00653F5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0E334C" w:rsidRPr="0072414A" w:rsidRDefault="000E334C" w:rsidP="008D02CB">
            <w:pPr>
              <w:rPr>
                <w:lang w:val="en-GB"/>
              </w:rPr>
            </w:pPr>
            <w:r>
              <w:rPr>
                <w:b/>
                <w:lang w:val="en-US"/>
              </w:rPr>
              <w:t>Final</w:t>
            </w:r>
            <w:r w:rsidRPr="0072414A">
              <w:rPr>
                <w:b/>
                <w:lang w:val="en-GB"/>
              </w:rPr>
              <w:t xml:space="preserve"> </w:t>
            </w:r>
            <w:r>
              <w:rPr>
                <w:b/>
                <w:lang w:val="en-US"/>
              </w:rPr>
              <w:t>grade</w:t>
            </w:r>
            <w:r w:rsidRPr="0072414A">
              <w:rPr>
                <w:lang w:val="en-GB"/>
              </w:rPr>
              <w:t>:</w:t>
            </w:r>
          </w:p>
          <w:p w:rsidR="000E334C" w:rsidRPr="0072414A" w:rsidRDefault="000E334C" w:rsidP="008D02CB">
            <w:pPr>
              <w:spacing w:before="240"/>
              <w:ind w:left="720"/>
              <w:jc w:val="center"/>
              <w:rPr>
                <w:i/>
                <w:sz w:val="28"/>
                <w:szCs w:val="28"/>
                <w:vertAlign w:val="subscript"/>
                <w:lang w:val="en-GB"/>
              </w:rPr>
            </w:pP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final</w:t>
            </w:r>
            <w:r w:rsidRPr="0072414A">
              <w:rPr>
                <w:i/>
                <w:sz w:val="28"/>
                <w:szCs w:val="28"/>
                <w:lang w:val="en-GB"/>
              </w:rPr>
              <w:t xml:space="preserve"> = 0,7*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cumulative</w:t>
            </w:r>
            <w:r w:rsidRPr="0072414A">
              <w:rPr>
                <w:i/>
                <w:sz w:val="28"/>
                <w:szCs w:val="28"/>
                <w:lang w:val="en-GB"/>
              </w:rPr>
              <w:t xml:space="preserve"> + 0,3 *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exam</w:t>
            </w:r>
            <w:r w:rsidRPr="0072414A">
              <w:rPr>
                <w:i/>
                <w:sz w:val="28"/>
                <w:szCs w:val="28"/>
                <w:vertAlign w:val="subscript"/>
                <w:lang w:val="en-GB"/>
              </w:rPr>
              <w:t xml:space="preserve">  </w:t>
            </w:r>
          </w:p>
          <w:p w:rsidR="000E334C" w:rsidRPr="0072414A" w:rsidRDefault="000E334C" w:rsidP="008D02CB">
            <w:pPr>
              <w:jc w:val="both"/>
              <w:rPr>
                <w:i/>
                <w:sz w:val="28"/>
                <w:szCs w:val="28"/>
                <w:lang w:val="en-GB"/>
              </w:rPr>
            </w:pPr>
          </w:p>
          <w:p w:rsidR="000E334C" w:rsidRPr="0072414A" w:rsidRDefault="000E334C" w:rsidP="008D02CB">
            <w:pPr>
              <w:jc w:val="both"/>
              <w:rPr>
                <w:lang w:val="en-GB"/>
              </w:rPr>
            </w:pP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exam</w:t>
            </w:r>
            <w:r w:rsidRPr="0072414A">
              <w:rPr>
                <w:sz w:val="28"/>
                <w:szCs w:val="28"/>
                <w:lang w:val="en-GB"/>
              </w:rPr>
              <w:t xml:space="preserve"> </w:t>
            </w:r>
            <w:r w:rsidRPr="0072414A">
              <w:rPr>
                <w:lang w:val="en-GB"/>
              </w:rPr>
              <w:t xml:space="preserve">– </w:t>
            </w:r>
            <w:r>
              <w:rPr>
                <w:lang w:val="en-US"/>
              </w:rPr>
              <w:t>grade for exam</w:t>
            </w:r>
          </w:p>
          <w:p w:rsidR="000E334C" w:rsidRPr="00653F5F" w:rsidRDefault="000E334C" w:rsidP="00653F5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>There is an a</w:t>
            </w:r>
            <w:r w:rsidRPr="00A2298E">
              <w:rPr>
                <w:rFonts w:ascii="Times New Roman" w:hAnsi="Times New Roman"/>
                <w:sz w:val="24"/>
                <w:szCs w:val="24"/>
                <w:lang w:val="en-US" w:eastAsia="en-GB"/>
              </w:rPr>
              <w:t>rithmetic rounding</w:t>
            </w: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of the grades</w:t>
            </w:r>
            <w:bookmarkEnd w:id="1"/>
          </w:p>
        </w:tc>
      </w:tr>
      <w:tr w:rsidR="000E334C" w:rsidRPr="00A86765" w:rsidTr="00A86765"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 w:rsidRPr="00076E2F">
              <w:rPr>
                <w:rFonts w:eastAsiaTheme="minorHAnsi"/>
                <w:szCs w:val="24"/>
                <w:lang w:val="en-US"/>
              </w:rPr>
              <w:t>Readings / Indicative Learning Resources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u w:val="single"/>
                <w:lang w:val="en-US"/>
              </w:rPr>
            </w:pPr>
            <w:r w:rsidRPr="00076E2F">
              <w:rPr>
                <w:rFonts w:eastAsiaTheme="minorHAnsi"/>
                <w:szCs w:val="24"/>
                <w:u w:val="single"/>
                <w:lang w:val="en-US"/>
              </w:rPr>
              <w:t xml:space="preserve">Mandatory </w:t>
            </w:r>
          </w:p>
          <w:p w:rsidR="00CA24A1" w:rsidRPr="009A4494" w:rsidRDefault="00CA24A1" w:rsidP="00CA24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9A449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Shachar</w:t>
            </w:r>
            <w:proofErr w:type="spellEnd"/>
            <w:r w:rsidRPr="009A449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A, </w:t>
            </w:r>
            <w:proofErr w:type="spellStart"/>
            <w:r w:rsidRPr="009A449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Bauböck</w:t>
            </w:r>
            <w:proofErr w:type="spellEnd"/>
            <w:r w:rsidRPr="009A449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R, </w:t>
            </w:r>
            <w:proofErr w:type="spellStart"/>
            <w:r w:rsidRPr="009A449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Bloemraad</w:t>
            </w:r>
            <w:proofErr w:type="spellEnd"/>
            <w:r w:rsidRPr="009A449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I, </w:t>
            </w:r>
            <w:proofErr w:type="spellStart"/>
            <w:r w:rsidRPr="009A449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Vink</w:t>
            </w:r>
            <w:proofErr w:type="spellEnd"/>
            <w:r w:rsidRPr="009A449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M, eds. </w:t>
            </w:r>
            <w:r w:rsidRPr="009A44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en-US"/>
              </w:rPr>
              <w:t>The Oxford Handbook of Citizenship</w:t>
            </w:r>
            <w:r w:rsidRPr="009A449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. Oxford University Press; 2017. </w:t>
            </w:r>
            <w:hyperlink r:id="rId8" w:history="1">
              <w:r w:rsidRPr="00400807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http://www.oxfordhandbooks.com/view/10.1093/oxfordhb/9780198805854.001.0001/oxfordhb-9780198805854</w:t>
              </w:r>
            </w:hyperlink>
            <w:r w:rsidRPr="009A449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.  </w:t>
            </w:r>
          </w:p>
          <w:p w:rsidR="00CA24A1" w:rsidRPr="00CA24A1" w:rsidRDefault="00CA24A1" w:rsidP="00CA24A1">
            <w:pPr>
              <w:pStyle w:val="a9"/>
              <w:jc w:val="both"/>
              <w:rPr>
                <w:rFonts w:asciiTheme="minorHAnsi" w:hAnsiTheme="minorHAnsi"/>
                <w:color w:val="555555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 w:rsidRPr="009A449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Terkla</w:t>
            </w:r>
            <w:proofErr w:type="spellEnd"/>
            <w:r w:rsidRPr="009A449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, Dawn Geronimo, and Lisa S. O'Leary. Assessing Civic </w:t>
            </w:r>
            <w:proofErr w:type="gramStart"/>
            <w:r w:rsidRPr="009A449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Engagement :</w:t>
            </w:r>
            <w:proofErr w:type="gramEnd"/>
            <w:r w:rsidRPr="009A449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 New Directions for Institutional Research, Number 162, John Wiley &amp; Sons, Incorporated, 2014. </w:t>
            </w:r>
            <w:proofErr w:type="spellStart"/>
            <w:r w:rsidRPr="009A449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ProQuest</w:t>
            </w:r>
            <w:proofErr w:type="spellEnd"/>
            <w:r w:rsidRPr="009A449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A449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Ebook</w:t>
            </w:r>
            <w:proofErr w:type="spellEnd"/>
            <w:r w:rsidRPr="009A449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Central,</w:t>
            </w:r>
            <w:r w:rsidRPr="009A4494"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A86765">
              <w:fldChar w:fldCharType="begin"/>
            </w:r>
            <w:r w:rsidR="00A86765" w:rsidRPr="00A86765">
              <w:rPr>
                <w:lang w:val="en-US"/>
              </w:rPr>
              <w:instrText xml:space="preserve"> HYPERLINK "https://ebookcentral.proquest.com/lib/hselibrary-ebooks/detail.action?docID=1896034" </w:instrText>
            </w:r>
            <w:r w:rsidR="00A86765">
              <w:fldChar w:fldCharType="separate"/>
            </w:r>
            <w:r w:rsidRPr="009A4494"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https://ebookcentral.proquest.com/lib/hselibrary-ebooks/detail.action?docID=1896034</w:t>
            </w:r>
            <w:r w:rsidR="00A86765"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9A4494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A4494">
              <w:rPr>
                <w:rFonts w:asciiTheme="minorHAnsi" w:hAnsiTheme="minorHAnsi"/>
                <w:color w:val="555555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</w:p>
          <w:p w:rsidR="00CA24A1" w:rsidRDefault="00CA24A1" w:rsidP="00CA24A1">
            <w:pPr>
              <w:spacing w:line="240" w:lineRule="auto"/>
              <w:rPr>
                <w:rFonts w:eastAsiaTheme="minorHAnsi"/>
                <w:szCs w:val="24"/>
                <w:u w:val="single"/>
                <w:lang w:val="en-US"/>
              </w:rPr>
            </w:pPr>
          </w:p>
          <w:p w:rsidR="00CA24A1" w:rsidRDefault="00CA24A1" w:rsidP="00CA24A1">
            <w:pPr>
              <w:spacing w:line="240" w:lineRule="auto"/>
              <w:rPr>
                <w:rFonts w:eastAsiaTheme="minorHAnsi"/>
                <w:szCs w:val="24"/>
                <w:u w:val="single"/>
                <w:lang w:val="en-US"/>
              </w:rPr>
            </w:pPr>
            <w:r w:rsidRPr="00076E2F">
              <w:rPr>
                <w:rFonts w:eastAsiaTheme="minorHAnsi"/>
                <w:szCs w:val="24"/>
                <w:u w:val="single"/>
                <w:lang w:val="en-US"/>
              </w:rPr>
              <w:t>Optional</w:t>
            </w:r>
          </w:p>
          <w:p w:rsidR="00CA24A1" w:rsidRPr="002059C7" w:rsidRDefault="00CA24A1" w:rsidP="00CA24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2059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Approaches to Positive Youth Development, edited by Rainer K. </w:t>
            </w:r>
            <w:proofErr w:type="spellStart"/>
            <w:r w:rsidRPr="002059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Silbereisen</w:t>
            </w:r>
            <w:proofErr w:type="spellEnd"/>
            <w:r w:rsidRPr="002059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, and Richard M. Lerner, SAGE Publications, 2007. </w:t>
            </w:r>
            <w:proofErr w:type="spellStart"/>
            <w:r w:rsidRPr="002059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ProQuest</w:t>
            </w:r>
            <w:proofErr w:type="spellEnd"/>
            <w:r w:rsidRPr="002059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59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Ebook</w:t>
            </w:r>
            <w:proofErr w:type="spellEnd"/>
            <w:r w:rsidRPr="002059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Central, </w:t>
            </w:r>
            <w:r w:rsidR="00A86765">
              <w:fldChar w:fldCharType="begin"/>
            </w:r>
            <w:r w:rsidR="00A86765" w:rsidRPr="00A86765">
              <w:rPr>
                <w:lang w:val="en-US"/>
              </w:rPr>
              <w:instrText xml:space="preserve"> HYPERLINK "https://ebookcentral.proquest.com/lib/hselibrary-ebooks/detail.action?docID=370492" </w:instrText>
            </w:r>
            <w:r w:rsidR="00A86765">
              <w:fldChar w:fldCharType="separate"/>
            </w:r>
            <w:r w:rsidRPr="00400807"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https://ebookcentral.proquest.com/lib/hselibrary-ebooks/detail.action?docID=370492</w:t>
            </w:r>
            <w:r w:rsidR="00A86765"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2059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  <w:p w:rsidR="00CA24A1" w:rsidRPr="00CA24A1" w:rsidRDefault="00CA24A1" w:rsidP="00CA24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2059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Torres, Maria de los Angeles, and Norma Del Rio. Citizens in the Present: Youth Civic Engagement in the Americas, University of Illinois Press, 2013. </w:t>
            </w:r>
            <w:proofErr w:type="spellStart"/>
            <w:r w:rsidRPr="002059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ProQuest</w:t>
            </w:r>
            <w:proofErr w:type="spellEnd"/>
            <w:r w:rsidRPr="002059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59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Ebook</w:t>
            </w:r>
            <w:proofErr w:type="spellEnd"/>
            <w:r w:rsidRPr="002059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Central, </w:t>
            </w:r>
            <w:r w:rsidR="00A86765">
              <w:fldChar w:fldCharType="begin"/>
            </w:r>
            <w:r w:rsidR="00A86765" w:rsidRPr="00A86765">
              <w:rPr>
                <w:lang w:val="en-US"/>
              </w:rPr>
              <w:instrText xml:space="preserve"> HYPERLINK "https://ebookcentral.proquest.com/lib/hselibrary-ebooks</w:instrText>
            </w:r>
            <w:r w:rsidR="00A86765" w:rsidRPr="00A86765">
              <w:rPr>
                <w:lang w:val="en-US"/>
              </w:rPr>
              <w:instrText xml:space="preserve">/detail.action?docID=3414285" </w:instrText>
            </w:r>
            <w:r w:rsidR="00A86765">
              <w:fldChar w:fldCharType="separate"/>
            </w:r>
            <w:r w:rsidRPr="00400807"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https://ebookcentral.proquest.com/lib/hselibrary-ebooks/detail.action?docID=3414285</w:t>
            </w:r>
            <w:r w:rsidR="00A86765"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2059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  <w:p w:rsidR="00CA24A1" w:rsidRPr="00CA24A1" w:rsidRDefault="00CA24A1" w:rsidP="00CA24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2059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Culture and Citizenship, edited by Nicholas Stevenson, SAGE Publications, 2000. </w:t>
            </w:r>
            <w:proofErr w:type="spellStart"/>
            <w:r w:rsidRPr="002059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ProQuest</w:t>
            </w:r>
            <w:proofErr w:type="spellEnd"/>
            <w:r w:rsidRPr="002059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59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Ebook</w:t>
            </w:r>
            <w:proofErr w:type="spellEnd"/>
            <w:r w:rsidRPr="002059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Central, </w:t>
            </w:r>
            <w:r w:rsidR="00A86765">
              <w:fldChar w:fldCharType="begin"/>
            </w:r>
            <w:r w:rsidR="00A86765" w:rsidRPr="00A86765">
              <w:rPr>
                <w:lang w:val="en-US"/>
              </w:rPr>
              <w:instrText xml:space="preserve"> HYPERLINK "https://ebookcentral.</w:instrText>
            </w:r>
            <w:r w:rsidR="00A86765" w:rsidRPr="00A86765">
              <w:rPr>
                <w:lang w:val="en-US"/>
              </w:rPr>
              <w:instrText xml:space="preserve">proquest.com/lib/hselibrary-ebooks/detail.action?docID=254672" </w:instrText>
            </w:r>
            <w:r w:rsidR="00A86765">
              <w:fldChar w:fldCharType="separate"/>
            </w:r>
            <w:r w:rsidRPr="00400807"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https://ebookcentral.proquest.com/lib/hselibrary-ebooks/detail.action?docID=254672</w:t>
            </w:r>
            <w:r w:rsidR="00A86765"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2059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  <w:p w:rsidR="000E334C" w:rsidRPr="00CA24A1" w:rsidRDefault="00CA24A1" w:rsidP="00CA24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2059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Going Public : Civic and Community Engagement, edited by Hiram E. Fitzgerald, and Judith Primavera, Michigan State University Press, 2013. </w:t>
            </w:r>
            <w:proofErr w:type="spellStart"/>
            <w:r w:rsidRPr="002059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ProQuest</w:t>
            </w:r>
            <w:proofErr w:type="spellEnd"/>
            <w:r w:rsidRPr="002059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59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Ebook</w:t>
            </w:r>
            <w:proofErr w:type="spellEnd"/>
            <w:r w:rsidRPr="002059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Central, </w:t>
            </w:r>
            <w:hyperlink r:id="rId9" w:history="1">
              <w:r w:rsidRPr="00400807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https://ebookcentral.proquest.com/lib/hselibrary-ebooks/detail.action?docID=3338326</w:t>
              </w:r>
            </w:hyperlink>
          </w:p>
        </w:tc>
      </w:tr>
      <w:tr w:rsidR="000E334C" w:rsidRPr="00076E2F" w:rsidTr="00A86765">
        <w:trPr>
          <w:trHeight w:val="33"/>
        </w:trPr>
        <w:tc>
          <w:tcPr>
            <w:tcW w:w="1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Indicative Self- Study Strategies</w:t>
            </w:r>
          </w:p>
        </w:tc>
        <w:tc>
          <w:tcPr>
            <w:tcW w:w="2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34C" w:rsidRPr="00076E2F" w:rsidRDefault="000E334C" w:rsidP="008D02CB">
            <w:pPr>
              <w:spacing w:line="240" w:lineRule="auto"/>
              <w:jc w:val="center"/>
              <w:rPr>
                <w:rFonts w:eastAsiaTheme="minorHAnsi"/>
                <w:b/>
                <w:szCs w:val="24"/>
                <w:lang w:val="en-US"/>
              </w:rPr>
            </w:pPr>
            <w:r w:rsidRPr="00076E2F">
              <w:rPr>
                <w:rFonts w:eastAsiaTheme="minorHAnsi"/>
                <w:b/>
                <w:szCs w:val="24"/>
                <w:lang w:val="en-US"/>
              </w:rPr>
              <w:t>Type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E334C" w:rsidRPr="00076E2F" w:rsidRDefault="000E334C" w:rsidP="008D02CB">
            <w:pPr>
              <w:spacing w:line="240" w:lineRule="auto"/>
              <w:jc w:val="center"/>
              <w:rPr>
                <w:rFonts w:eastAsiaTheme="minorHAnsi"/>
                <w:b/>
                <w:szCs w:val="24"/>
                <w:lang w:val="en-US"/>
              </w:rPr>
            </w:pPr>
            <w:r w:rsidRPr="00076E2F">
              <w:rPr>
                <w:rFonts w:eastAsiaTheme="minorHAnsi"/>
                <w:b/>
                <w:iCs/>
                <w:szCs w:val="24"/>
                <w:lang w:val="en-US"/>
              </w:rPr>
              <w:t>+/–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E334C" w:rsidRPr="00076E2F" w:rsidRDefault="000E334C" w:rsidP="008D02CB">
            <w:pPr>
              <w:spacing w:line="240" w:lineRule="auto"/>
              <w:jc w:val="center"/>
              <w:rPr>
                <w:rFonts w:eastAsiaTheme="minorHAnsi"/>
                <w:b/>
                <w:szCs w:val="24"/>
                <w:lang w:val="en-US"/>
              </w:rPr>
            </w:pPr>
            <w:r w:rsidRPr="00076E2F">
              <w:rPr>
                <w:rFonts w:eastAsiaTheme="minorHAnsi"/>
                <w:b/>
                <w:szCs w:val="24"/>
                <w:lang w:val="en-US"/>
              </w:rPr>
              <w:t>Hours</w:t>
            </w:r>
          </w:p>
        </w:tc>
      </w:tr>
      <w:tr w:rsidR="000E334C" w:rsidRPr="00C174C5" w:rsidTr="00A86765">
        <w:trPr>
          <w:trHeight w:val="32"/>
        </w:trPr>
        <w:tc>
          <w:tcPr>
            <w:tcW w:w="15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</w:p>
        </w:tc>
        <w:tc>
          <w:tcPr>
            <w:tcW w:w="2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 xml:space="preserve">Reading for </w:t>
            </w:r>
            <w:r w:rsidRPr="00076E2F">
              <w:rPr>
                <w:rFonts w:eastAsiaTheme="minorHAnsi"/>
                <w:szCs w:val="24"/>
                <w:lang w:val="en-US"/>
              </w:rPr>
              <w:t xml:space="preserve">seminars / tutorials </w:t>
            </w:r>
            <w:r>
              <w:rPr>
                <w:rFonts w:eastAsiaTheme="minorHAnsi"/>
                <w:szCs w:val="24"/>
                <w:lang w:val="en-US"/>
              </w:rPr>
              <w:t>(lecture materials, mandatory and optional resources)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+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E334C" w:rsidRDefault="00026329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30</w:t>
            </w:r>
          </w:p>
        </w:tc>
      </w:tr>
      <w:tr w:rsidR="000E334C" w:rsidRPr="00D56215" w:rsidTr="00A86765">
        <w:trPr>
          <w:trHeight w:val="32"/>
        </w:trPr>
        <w:tc>
          <w:tcPr>
            <w:tcW w:w="15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</w:p>
        </w:tc>
        <w:tc>
          <w:tcPr>
            <w:tcW w:w="2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 xml:space="preserve">Assignments for </w:t>
            </w:r>
            <w:r w:rsidRPr="00076E2F">
              <w:rPr>
                <w:rFonts w:eastAsiaTheme="minorHAnsi"/>
                <w:szCs w:val="24"/>
                <w:lang w:val="en-US"/>
              </w:rPr>
              <w:t>seminars / tutorials</w:t>
            </w:r>
            <w:r>
              <w:rPr>
                <w:rFonts w:eastAsiaTheme="minorHAnsi"/>
                <w:szCs w:val="24"/>
                <w:lang w:val="en-US"/>
              </w:rPr>
              <w:t xml:space="preserve"> / labs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E334C" w:rsidRDefault="00026329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+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E334C" w:rsidRDefault="00026329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30</w:t>
            </w:r>
          </w:p>
        </w:tc>
      </w:tr>
      <w:tr w:rsidR="000E334C" w:rsidRPr="00C174C5" w:rsidTr="00A86765">
        <w:trPr>
          <w:trHeight w:val="32"/>
        </w:trPr>
        <w:tc>
          <w:tcPr>
            <w:tcW w:w="15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</w:p>
        </w:tc>
        <w:tc>
          <w:tcPr>
            <w:tcW w:w="2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E-learning / distance learning (MOOC / LMS)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E334C" w:rsidRPr="00026329" w:rsidRDefault="00026329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-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</w:p>
        </w:tc>
      </w:tr>
      <w:tr w:rsidR="000E334C" w:rsidRPr="00076E2F" w:rsidTr="00A86765">
        <w:trPr>
          <w:trHeight w:val="32"/>
        </w:trPr>
        <w:tc>
          <w:tcPr>
            <w:tcW w:w="15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</w:p>
        </w:tc>
        <w:tc>
          <w:tcPr>
            <w:tcW w:w="2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Fieldwork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E334C" w:rsidRDefault="00026329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-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</w:p>
        </w:tc>
      </w:tr>
      <w:tr w:rsidR="000E334C" w:rsidRPr="00076E2F" w:rsidTr="00A86765">
        <w:trPr>
          <w:trHeight w:val="32"/>
        </w:trPr>
        <w:tc>
          <w:tcPr>
            <w:tcW w:w="15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</w:p>
        </w:tc>
        <w:tc>
          <w:tcPr>
            <w:tcW w:w="2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Project work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E334C" w:rsidRDefault="00026329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-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</w:p>
        </w:tc>
      </w:tr>
      <w:tr w:rsidR="000E334C" w:rsidRPr="00076E2F" w:rsidTr="00A86765">
        <w:trPr>
          <w:trHeight w:val="32"/>
        </w:trPr>
        <w:tc>
          <w:tcPr>
            <w:tcW w:w="15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</w:p>
        </w:tc>
        <w:tc>
          <w:tcPr>
            <w:tcW w:w="2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Other (please specify)</w:t>
            </w:r>
            <w:r w:rsidR="00026329">
              <w:rPr>
                <w:rFonts w:eastAsiaTheme="minorHAnsi"/>
                <w:szCs w:val="24"/>
                <w:lang w:val="en-US"/>
              </w:rPr>
              <w:t xml:space="preserve"> - Homework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E334C" w:rsidRDefault="00026329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+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E334C" w:rsidRDefault="00026329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20</w:t>
            </w:r>
          </w:p>
        </w:tc>
      </w:tr>
      <w:tr w:rsidR="000E334C" w:rsidRPr="00076E2F" w:rsidTr="00A86765">
        <w:trPr>
          <w:trHeight w:val="32"/>
        </w:trPr>
        <w:tc>
          <w:tcPr>
            <w:tcW w:w="15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</w:p>
        </w:tc>
        <w:tc>
          <w:tcPr>
            <w:tcW w:w="2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Preparation for the exam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E334C" w:rsidRPr="004C62BB" w:rsidRDefault="000E334C" w:rsidP="008D02CB">
            <w:pPr>
              <w:spacing w:line="240" w:lineRule="auto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+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E334C" w:rsidRDefault="00026329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40</w:t>
            </w:r>
          </w:p>
        </w:tc>
      </w:tr>
      <w:tr w:rsidR="000E334C" w:rsidRPr="00A86765" w:rsidTr="00A86765"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Academic Support for the Course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Academic support for the course is provided via LMS, where students can find: guidelines and recommendations for doing the course; guidelines and recommendations for self-study; samples of assessment materials</w:t>
            </w:r>
          </w:p>
        </w:tc>
      </w:tr>
      <w:tr w:rsidR="000E334C" w:rsidRPr="00586663" w:rsidTr="00A86765"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34C" w:rsidRPr="00586663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Facilities, Equipment and Software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34C" w:rsidRPr="00085511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 w:rsidRPr="00085511">
              <w:rPr>
                <w:rFonts w:eastAsiaTheme="minorHAnsi"/>
                <w:szCs w:val="24"/>
              </w:rPr>
              <w:t>-</w:t>
            </w:r>
          </w:p>
        </w:tc>
      </w:tr>
      <w:tr w:rsidR="000E334C" w:rsidRPr="00076E2F" w:rsidTr="00A86765"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34C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 w:rsidRPr="00076E2F">
              <w:rPr>
                <w:rFonts w:eastAsiaTheme="minorHAnsi"/>
                <w:szCs w:val="24"/>
                <w:lang w:val="en-US"/>
              </w:rPr>
              <w:t>Course Instructor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34C" w:rsidRPr="00085511" w:rsidRDefault="000E334C" w:rsidP="008D02CB">
            <w:pPr>
              <w:spacing w:line="240" w:lineRule="auto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Yana Krupets</w:t>
            </w:r>
          </w:p>
        </w:tc>
      </w:tr>
      <w:bookmarkEnd w:id="0"/>
    </w:tbl>
    <w:p w:rsidR="004C6BCD" w:rsidRDefault="004C6BCD" w:rsidP="004C6BCD">
      <w:pPr>
        <w:spacing w:line="240" w:lineRule="auto"/>
        <w:jc w:val="both"/>
      </w:pPr>
    </w:p>
    <w:p w:rsidR="004C6BCD" w:rsidRDefault="004C6BCD" w:rsidP="004C6BCD">
      <w:pPr>
        <w:spacing w:line="240" w:lineRule="auto"/>
        <w:jc w:val="both"/>
      </w:pPr>
    </w:p>
    <w:sectPr w:rsidR="004C6BCD" w:rsidSect="003008A2">
      <w:pgSz w:w="11906" w:h="16838"/>
      <w:pgMar w:top="68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D7" w:rsidRDefault="00CA6CD7" w:rsidP="003008A2">
      <w:pPr>
        <w:spacing w:line="240" w:lineRule="auto"/>
      </w:pPr>
      <w:r>
        <w:separator/>
      </w:r>
    </w:p>
  </w:endnote>
  <w:endnote w:type="continuationSeparator" w:id="0">
    <w:p w:rsidR="00CA6CD7" w:rsidRDefault="00CA6CD7" w:rsidP="00300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D7" w:rsidRDefault="00CA6CD7" w:rsidP="003008A2">
      <w:pPr>
        <w:spacing w:line="240" w:lineRule="auto"/>
      </w:pPr>
      <w:r>
        <w:separator/>
      </w:r>
    </w:p>
  </w:footnote>
  <w:footnote w:type="continuationSeparator" w:id="0">
    <w:p w:rsidR="00CA6CD7" w:rsidRDefault="00CA6CD7" w:rsidP="003008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2A808ED"/>
    <w:multiLevelType w:val="hybridMultilevel"/>
    <w:tmpl w:val="2FFE8744"/>
    <w:lvl w:ilvl="0" w:tplc="AFA0020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5D81"/>
    <w:multiLevelType w:val="hybridMultilevel"/>
    <w:tmpl w:val="0FA0CFFC"/>
    <w:lvl w:ilvl="0" w:tplc="B8E495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D6E80"/>
    <w:multiLevelType w:val="hybridMultilevel"/>
    <w:tmpl w:val="FB209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F402F"/>
    <w:multiLevelType w:val="hybridMultilevel"/>
    <w:tmpl w:val="17B6E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445D7"/>
    <w:multiLevelType w:val="hybridMultilevel"/>
    <w:tmpl w:val="E5966BC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5763FE9"/>
    <w:multiLevelType w:val="hybridMultilevel"/>
    <w:tmpl w:val="4064B988"/>
    <w:lvl w:ilvl="0" w:tplc="E1341A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E11F0"/>
    <w:multiLevelType w:val="hybridMultilevel"/>
    <w:tmpl w:val="B9B85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C629B2"/>
    <w:multiLevelType w:val="hybridMultilevel"/>
    <w:tmpl w:val="5818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24643FB"/>
    <w:multiLevelType w:val="hybridMultilevel"/>
    <w:tmpl w:val="738065CE"/>
    <w:lvl w:ilvl="0" w:tplc="F8986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PMingLiU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EA3AE1"/>
    <w:multiLevelType w:val="hybridMultilevel"/>
    <w:tmpl w:val="1B18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83F"/>
    <w:rsid w:val="00012FA4"/>
    <w:rsid w:val="00026329"/>
    <w:rsid w:val="00026B4C"/>
    <w:rsid w:val="000810E5"/>
    <w:rsid w:val="000837B0"/>
    <w:rsid w:val="000B3001"/>
    <w:rsid w:val="000E334C"/>
    <w:rsid w:val="000F1846"/>
    <w:rsid w:val="00122937"/>
    <w:rsid w:val="00166741"/>
    <w:rsid w:val="00170822"/>
    <w:rsid w:val="0017703D"/>
    <w:rsid w:val="001A2759"/>
    <w:rsid w:val="001A6163"/>
    <w:rsid w:val="001E2065"/>
    <w:rsid w:val="001F15A6"/>
    <w:rsid w:val="002059C7"/>
    <w:rsid w:val="0027309F"/>
    <w:rsid w:val="002741F3"/>
    <w:rsid w:val="002A3DF7"/>
    <w:rsid w:val="002D040C"/>
    <w:rsid w:val="002E15D6"/>
    <w:rsid w:val="003008A2"/>
    <w:rsid w:val="00316724"/>
    <w:rsid w:val="0038635A"/>
    <w:rsid w:val="00386BA6"/>
    <w:rsid w:val="0043580C"/>
    <w:rsid w:val="004C62BB"/>
    <w:rsid w:val="004C6BCD"/>
    <w:rsid w:val="005741A6"/>
    <w:rsid w:val="0058749E"/>
    <w:rsid w:val="00594BC4"/>
    <w:rsid w:val="00653F5F"/>
    <w:rsid w:val="006B59D3"/>
    <w:rsid w:val="0072414A"/>
    <w:rsid w:val="007A0801"/>
    <w:rsid w:val="007B1B6C"/>
    <w:rsid w:val="007B682D"/>
    <w:rsid w:val="007D7784"/>
    <w:rsid w:val="00850E5E"/>
    <w:rsid w:val="00894FA2"/>
    <w:rsid w:val="008B0363"/>
    <w:rsid w:val="008B2D3E"/>
    <w:rsid w:val="008D02CB"/>
    <w:rsid w:val="009032F4"/>
    <w:rsid w:val="00921EB8"/>
    <w:rsid w:val="009A4494"/>
    <w:rsid w:val="00A16EF5"/>
    <w:rsid w:val="00A565CB"/>
    <w:rsid w:val="00A86765"/>
    <w:rsid w:val="00AB79BF"/>
    <w:rsid w:val="00AC0EA8"/>
    <w:rsid w:val="00AC783F"/>
    <w:rsid w:val="00AF0623"/>
    <w:rsid w:val="00AF1BF5"/>
    <w:rsid w:val="00B03DB2"/>
    <w:rsid w:val="00B60F9E"/>
    <w:rsid w:val="00B61DBD"/>
    <w:rsid w:val="00BE2465"/>
    <w:rsid w:val="00BE69B9"/>
    <w:rsid w:val="00C03D63"/>
    <w:rsid w:val="00C70239"/>
    <w:rsid w:val="00CA24A1"/>
    <w:rsid w:val="00CA6CD7"/>
    <w:rsid w:val="00D1181B"/>
    <w:rsid w:val="00D23B16"/>
    <w:rsid w:val="00D52F69"/>
    <w:rsid w:val="00D56215"/>
    <w:rsid w:val="00D64904"/>
    <w:rsid w:val="00D74798"/>
    <w:rsid w:val="00DB359D"/>
    <w:rsid w:val="00DC2F6D"/>
    <w:rsid w:val="00DC3408"/>
    <w:rsid w:val="00E725D5"/>
    <w:rsid w:val="00E92E7E"/>
    <w:rsid w:val="00EB5B18"/>
    <w:rsid w:val="00F022FB"/>
    <w:rsid w:val="00F90B1D"/>
    <w:rsid w:val="00FE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783F"/>
    <w:pPr>
      <w:suppressAutoHyphens/>
      <w:spacing w:after="0" w:line="276" w:lineRule="auto"/>
    </w:pPr>
    <w:rPr>
      <w:rFonts w:ascii="Times New Roman" w:eastAsia="Calibri" w:hAnsi="Times New Roman" w:cs="Times New Roman"/>
      <w:color w:val="00000A"/>
      <w:sz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InternetLink">
    <w:name w:val="Internet Link"/>
    <w:uiPriority w:val="99"/>
    <w:semiHidden/>
    <w:unhideWhenUsed/>
    <w:rsid w:val="00AC783F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AC783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Footer1">
    <w:name w:val="Footer1"/>
    <w:basedOn w:val="a0"/>
    <w:rsid w:val="00AC783F"/>
    <w:pPr>
      <w:tabs>
        <w:tab w:val="center" w:pos="4677"/>
        <w:tab w:val="right" w:pos="9355"/>
      </w:tabs>
      <w:spacing w:line="240" w:lineRule="auto"/>
    </w:pPr>
  </w:style>
  <w:style w:type="paragraph" w:styleId="a4">
    <w:name w:val="List Paragraph"/>
    <w:basedOn w:val="a0"/>
    <w:uiPriority w:val="34"/>
    <w:qFormat/>
    <w:rsid w:val="00026B4C"/>
    <w:pPr>
      <w:ind w:left="720"/>
      <w:contextualSpacing/>
    </w:pPr>
  </w:style>
  <w:style w:type="character" w:customStyle="1" w:styleId="author">
    <w:name w:val="author"/>
    <w:basedOn w:val="a1"/>
    <w:rsid w:val="007B682D"/>
  </w:style>
  <w:style w:type="character" w:styleId="a5">
    <w:name w:val="Hyperlink"/>
    <w:basedOn w:val="a1"/>
    <w:uiPriority w:val="99"/>
    <w:unhideWhenUsed/>
    <w:rsid w:val="007B682D"/>
    <w:rPr>
      <w:color w:val="0000FF"/>
      <w:u w:val="single"/>
    </w:rPr>
  </w:style>
  <w:style w:type="character" w:customStyle="1" w:styleId="contribution">
    <w:name w:val="contribution"/>
    <w:basedOn w:val="a1"/>
    <w:rsid w:val="007B682D"/>
  </w:style>
  <w:style w:type="character" w:customStyle="1" w:styleId="a-color-secondary">
    <w:name w:val="a-color-secondary"/>
    <w:basedOn w:val="a1"/>
    <w:rsid w:val="007B682D"/>
  </w:style>
  <w:style w:type="paragraph" w:styleId="a6">
    <w:name w:val="footnote text"/>
    <w:basedOn w:val="a0"/>
    <w:link w:val="a7"/>
    <w:uiPriority w:val="99"/>
    <w:unhideWhenUsed/>
    <w:rsid w:val="003008A2"/>
    <w:pPr>
      <w:suppressAutoHyphens w:val="0"/>
      <w:spacing w:line="240" w:lineRule="auto"/>
      <w:ind w:firstLine="709"/>
    </w:pPr>
    <w:rPr>
      <w:color w:val="auto"/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rsid w:val="003008A2"/>
    <w:rPr>
      <w:rFonts w:ascii="Times New Roman" w:eastAsia="Calibri" w:hAnsi="Times New Roman" w:cs="Times New Roman"/>
      <w:sz w:val="20"/>
      <w:szCs w:val="20"/>
      <w:lang w:val="ru-RU"/>
    </w:rPr>
  </w:style>
  <w:style w:type="character" w:styleId="a8">
    <w:name w:val="footnote reference"/>
    <w:uiPriority w:val="99"/>
    <w:semiHidden/>
    <w:unhideWhenUsed/>
    <w:rsid w:val="003008A2"/>
    <w:rPr>
      <w:vertAlign w:val="superscript"/>
    </w:rPr>
  </w:style>
  <w:style w:type="paragraph" w:customStyle="1" w:styleId="StandardWeb1">
    <w:name w:val="Standard (Web)1"/>
    <w:basedOn w:val="a0"/>
    <w:rsid w:val="003008A2"/>
    <w:pPr>
      <w:suppressAutoHyphens w:val="0"/>
      <w:spacing w:before="280" w:after="119" w:line="240" w:lineRule="auto"/>
    </w:pPr>
    <w:rPr>
      <w:rFonts w:eastAsia="Times New Roman"/>
      <w:color w:val="auto"/>
      <w:szCs w:val="24"/>
      <w:lang w:val="de-DE" w:eastAsia="zh-CN"/>
    </w:rPr>
  </w:style>
  <w:style w:type="paragraph" w:styleId="a9">
    <w:name w:val="footer"/>
    <w:basedOn w:val="a0"/>
    <w:link w:val="aa"/>
    <w:rsid w:val="003008A2"/>
    <w:pPr>
      <w:tabs>
        <w:tab w:val="center" w:pos="4677"/>
        <w:tab w:val="right" w:pos="9355"/>
      </w:tabs>
      <w:suppressAutoHyphens w:val="0"/>
      <w:spacing w:line="240" w:lineRule="auto"/>
    </w:pPr>
    <w:rPr>
      <w:rFonts w:ascii="Calibri" w:hAnsi="Calibri"/>
      <w:color w:val="auto"/>
      <w:sz w:val="22"/>
    </w:rPr>
  </w:style>
  <w:style w:type="character" w:customStyle="1" w:styleId="aa">
    <w:name w:val="Нижний колонтитул Знак"/>
    <w:basedOn w:val="a1"/>
    <w:link w:val="a9"/>
    <w:rsid w:val="003008A2"/>
    <w:rPr>
      <w:rFonts w:ascii="Calibri" w:eastAsia="Calibri" w:hAnsi="Calibri" w:cs="Times New Roman"/>
      <w:lang w:val="ru-RU"/>
    </w:rPr>
  </w:style>
  <w:style w:type="paragraph" w:styleId="ab">
    <w:name w:val="Normal (Web)"/>
    <w:basedOn w:val="a0"/>
    <w:uiPriority w:val="99"/>
    <w:semiHidden/>
    <w:unhideWhenUsed/>
    <w:rsid w:val="00F022FB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4C62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C62BB"/>
    <w:rPr>
      <w:rFonts w:ascii="Tahoma" w:eastAsia="Calibri" w:hAnsi="Tahoma" w:cs="Tahoma"/>
      <w:color w:val="00000A"/>
      <w:sz w:val="16"/>
      <w:szCs w:val="16"/>
      <w:lang w:val="ru-RU"/>
    </w:rPr>
  </w:style>
  <w:style w:type="character" w:styleId="ae">
    <w:name w:val="annotation reference"/>
    <w:basedOn w:val="a1"/>
    <w:uiPriority w:val="99"/>
    <w:semiHidden/>
    <w:unhideWhenUsed/>
    <w:rsid w:val="00E92E7E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E92E7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E92E7E"/>
    <w:rPr>
      <w:rFonts w:ascii="Times New Roman" w:eastAsia="Calibri" w:hAnsi="Times New Roman" w:cs="Times New Roman"/>
      <w:color w:val="00000A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2E7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92E7E"/>
    <w:rPr>
      <w:rFonts w:ascii="Times New Roman" w:eastAsia="Calibri" w:hAnsi="Times New Roman" w:cs="Times New Roman"/>
      <w:b/>
      <w:bCs/>
      <w:color w:val="00000A"/>
      <w:sz w:val="20"/>
      <w:szCs w:val="20"/>
      <w:lang w:val="ru-RU"/>
    </w:rPr>
  </w:style>
  <w:style w:type="character" w:styleId="af3">
    <w:name w:val="Emphasis"/>
    <w:basedOn w:val="a1"/>
    <w:uiPriority w:val="20"/>
    <w:qFormat/>
    <w:rsid w:val="009A4494"/>
    <w:rPr>
      <w:i/>
      <w:iCs/>
    </w:rPr>
  </w:style>
  <w:style w:type="paragraph" w:customStyle="1" w:styleId="a">
    <w:name w:val="Маркированный."/>
    <w:basedOn w:val="a0"/>
    <w:rsid w:val="009032F4"/>
    <w:pPr>
      <w:numPr>
        <w:numId w:val="11"/>
      </w:numPr>
      <w:suppressAutoHyphens w:val="0"/>
      <w:spacing w:line="240" w:lineRule="auto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783F"/>
    <w:pPr>
      <w:suppressAutoHyphens/>
      <w:spacing w:after="0" w:line="276" w:lineRule="auto"/>
    </w:pPr>
    <w:rPr>
      <w:rFonts w:ascii="Times New Roman" w:eastAsia="Calibri" w:hAnsi="Times New Roman" w:cs="Times New Roman"/>
      <w:color w:val="00000A"/>
      <w:sz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InternetLink">
    <w:name w:val="Internet Link"/>
    <w:uiPriority w:val="99"/>
    <w:semiHidden/>
    <w:unhideWhenUsed/>
    <w:rsid w:val="00AC783F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AC783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Footer1">
    <w:name w:val="Footer1"/>
    <w:basedOn w:val="a0"/>
    <w:rsid w:val="00AC783F"/>
    <w:pPr>
      <w:tabs>
        <w:tab w:val="center" w:pos="4677"/>
        <w:tab w:val="right" w:pos="9355"/>
      </w:tabs>
      <w:spacing w:line="240" w:lineRule="auto"/>
    </w:pPr>
  </w:style>
  <w:style w:type="paragraph" w:styleId="a4">
    <w:name w:val="List Paragraph"/>
    <w:basedOn w:val="a0"/>
    <w:uiPriority w:val="34"/>
    <w:qFormat/>
    <w:rsid w:val="00026B4C"/>
    <w:pPr>
      <w:ind w:left="720"/>
      <w:contextualSpacing/>
    </w:pPr>
  </w:style>
  <w:style w:type="character" w:customStyle="1" w:styleId="author">
    <w:name w:val="author"/>
    <w:basedOn w:val="a1"/>
    <w:rsid w:val="007B682D"/>
  </w:style>
  <w:style w:type="character" w:styleId="a5">
    <w:name w:val="Hyperlink"/>
    <w:basedOn w:val="a1"/>
    <w:uiPriority w:val="99"/>
    <w:unhideWhenUsed/>
    <w:rsid w:val="007B682D"/>
    <w:rPr>
      <w:color w:val="0000FF"/>
      <w:u w:val="single"/>
    </w:rPr>
  </w:style>
  <w:style w:type="character" w:customStyle="1" w:styleId="contribution">
    <w:name w:val="contribution"/>
    <w:basedOn w:val="a1"/>
    <w:rsid w:val="007B682D"/>
  </w:style>
  <w:style w:type="character" w:customStyle="1" w:styleId="a-color-secondary">
    <w:name w:val="a-color-secondary"/>
    <w:basedOn w:val="a1"/>
    <w:rsid w:val="007B682D"/>
  </w:style>
  <w:style w:type="paragraph" w:styleId="a6">
    <w:name w:val="footnote text"/>
    <w:basedOn w:val="a0"/>
    <w:link w:val="a7"/>
    <w:uiPriority w:val="99"/>
    <w:unhideWhenUsed/>
    <w:rsid w:val="003008A2"/>
    <w:pPr>
      <w:suppressAutoHyphens w:val="0"/>
      <w:spacing w:line="240" w:lineRule="auto"/>
      <w:ind w:firstLine="709"/>
    </w:pPr>
    <w:rPr>
      <w:color w:val="auto"/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rsid w:val="003008A2"/>
    <w:rPr>
      <w:rFonts w:ascii="Times New Roman" w:eastAsia="Calibri" w:hAnsi="Times New Roman" w:cs="Times New Roman"/>
      <w:sz w:val="20"/>
      <w:szCs w:val="20"/>
      <w:lang w:val="ru-RU"/>
    </w:rPr>
  </w:style>
  <w:style w:type="character" w:styleId="a8">
    <w:name w:val="footnote reference"/>
    <w:uiPriority w:val="99"/>
    <w:semiHidden/>
    <w:unhideWhenUsed/>
    <w:rsid w:val="003008A2"/>
    <w:rPr>
      <w:vertAlign w:val="superscript"/>
    </w:rPr>
  </w:style>
  <w:style w:type="paragraph" w:customStyle="1" w:styleId="StandardWeb1">
    <w:name w:val="Standard (Web)1"/>
    <w:basedOn w:val="a0"/>
    <w:rsid w:val="003008A2"/>
    <w:pPr>
      <w:suppressAutoHyphens w:val="0"/>
      <w:spacing w:before="280" w:after="119" w:line="240" w:lineRule="auto"/>
    </w:pPr>
    <w:rPr>
      <w:rFonts w:eastAsia="Times New Roman"/>
      <w:color w:val="auto"/>
      <w:szCs w:val="24"/>
      <w:lang w:val="de-DE" w:eastAsia="zh-CN"/>
    </w:rPr>
  </w:style>
  <w:style w:type="paragraph" w:styleId="a9">
    <w:name w:val="footer"/>
    <w:basedOn w:val="a0"/>
    <w:link w:val="aa"/>
    <w:rsid w:val="003008A2"/>
    <w:pPr>
      <w:tabs>
        <w:tab w:val="center" w:pos="4677"/>
        <w:tab w:val="right" w:pos="9355"/>
      </w:tabs>
      <w:suppressAutoHyphens w:val="0"/>
      <w:spacing w:line="240" w:lineRule="auto"/>
    </w:pPr>
    <w:rPr>
      <w:rFonts w:ascii="Calibri" w:hAnsi="Calibri"/>
      <w:color w:val="auto"/>
      <w:sz w:val="22"/>
    </w:rPr>
  </w:style>
  <w:style w:type="character" w:customStyle="1" w:styleId="aa">
    <w:name w:val="Нижний колонтитул Знак"/>
    <w:basedOn w:val="a1"/>
    <w:link w:val="a9"/>
    <w:rsid w:val="003008A2"/>
    <w:rPr>
      <w:rFonts w:ascii="Calibri" w:eastAsia="Calibri" w:hAnsi="Calibri" w:cs="Times New Roman"/>
      <w:lang w:val="ru-RU"/>
    </w:rPr>
  </w:style>
  <w:style w:type="paragraph" w:styleId="ab">
    <w:name w:val="Normal (Web)"/>
    <w:basedOn w:val="a0"/>
    <w:uiPriority w:val="99"/>
    <w:semiHidden/>
    <w:unhideWhenUsed/>
    <w:rsid w:val="00F022FB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4C62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C62BB"/>
    <w:rPr>
      <w:rFonts w:ascii="Tahoma" w:eastAsia="Calibri" w:hAnsi="Tahoma" w:cs="Tahoma"/>
      <w:color w:val="00000A"/>
      <w:sz w:val="16"/>
      <w:szCs w:val="16"/>
      <w:lang w:val="ru-RU"/>
    </w:rPr>
  </w:style>
  <w:style w:type="character" w:styleId="ae">
    <w:name w:val="annotation reference"/>
    <w:basedOn w:val="a1"/>
    <w:uiPriority w:val="99"/>
    <w:semiHidden/>
    <w:unhideWhenUsed/>
    <w:rsid w:val="00E92E7E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E92E7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E92E7E"/>
    <w:rPr>
      <w:rFonts w:ascii="Times New Roman" w:eastAsia="Calibri" w:hAnsi="Times New Roman" w:cs="Times New Roman"/>
      <w:color w:val="00000A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2E7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92E7E"/>
    <w:rPr>
      <w:rFonts w:ascii="Times New Roman" w:eastAsia="Calibri" w:hAnsi="Times New Roman" w:cs="Times New Roman"/>
      <w:b/>
      <w:bCs/>
      <w:color w:val="00000A"/>
      <w:sz w:val="20"/>
      <w:szCs w:val="20"/>
      <w:lang w:val="ru-RU"/>
    </w:rPr>
  </w:style>
  <w:style w:type="character" w:styleId="af3">
    <w:name w:val="Emphasis"/>
    <w:basedOn w:val="a1"/>
    <w:uiPriority w:val="20"/>
    <w:qFormat/>
    <w:rsid w:val="009A4494"/>
    <w:rPr>
      <w:i/>
      <w:iCs/>
    </w:rPr>
  </w:style>
  <w:style w:type="paragraph" w:customStyle="1" w:styleId="a">
    <w:name w:val="Маркированный."/>
    <w:basedOn w:val="a0"/>
    <w:rsid w:val="009032F4"/>
    <w:pPr>
      <w:numPr>
        <w:numId w:val="11"/>
      </w:numPr>
      <w:suppressAutoHyphens w:val="0"/>
      <w:spacing w:line="240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handbooks.com/view/10.1093/oxfordhb/9780198805854.001.0001/oxfordhb-97801988058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bookcentral.proquest.com/lib/hselibrary-ebooks/detail.action?docID=3338326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НИУ ВШЭ СПб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Варблане Анжелика</cp:lastModifiedBy>
  <cp:revision>5</cp:revision>
  <dcterms:created xsi:type="dcterms:W3CDTF">2019-01-31T22:05:00Z</dcterms:created>
  <dcterms:modified xsi:type="dcterms:W3CDTF">2019-03-04T11:11:00Z</dcterms:modified>
</cp:coreProperties>
</file>