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3B12F2" w:rsidRPr="00E276AB"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3B12F2" w:rsidRPr="00152AF2" w:rsidRDefault="003B12F2" w:rsidP="007E3B98">
            <w:pPr>
              <w:spacing w:after="0" w:line="240" w:lineRule="auto"/>
              <w:rPr>
                <w:rFonts w:ascii="Times" w:eastAsiaTheme="minorHAnsi" w:hAnsi="Times"/>
                <w:b/>
                <w:sz w:val="24"/>
                <w:szCs w:val="24"/>
                <w:lang w:val="en-US"/>
              </w:rPr>
            </w:pPr>
            <w:r w:rsidRPr="00152AF2">
              <w:rPr>
                <w:rFonts w:ascii="Times" w:eastAsiaTheme="minorHAnsi" w:hAnsi="Times"/>
                <w:b/>
                <w:sz w:val="24"/>
                <w:szCs w:val="24"/>
                <w:lang w:val="en-US"/>
              </w:rPr>
              <w:t xml:space="preserve">Historical, Political and Economic </w:t>
            </w:r>
            <w:proofErr w:type="spellStart"/>
            <w:r w:rsidRPr="00152AF2">
              <w:rPr>
                <w:rFonts w:ascii="Times" w:eastAsiaTheme="minorHAnsi" w:hAnsi="Times"/>
                <w:b/>
                <w:sz w:val="24"/>
                <w:szCs w:val="24"/>
                <w:lang w:val="en-US"/>
              </w:rPr>
              <w:t>Intergration</w:t>
            </w:r>
            <w:proofErr w:type="spellEnd"/>
            <w:r w:rsidRPr="00152AF2">
              <w:rPr>
                <w:rFonts w:ascii="Times" w:eastAsiaTheme="minorHAnsi" w:hAnsi="Times"/>
                <w:b/>
                <w:sz w:val="24"/>
                <w:szCs w:val="24"/>
                <w:lang w:val="en-US"/>
              </w:rPr>
              <w:t xml:space="preserve"> of BRICS </w:t>
            </w:r>
          </w:p>
        </w:tc>
      </w:tr>
      <w:tr w:rsidR="003B12F2" w:rsidRPr="00E276AB"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 xml:space="preserve">Title of the Academic </w:t>
            </w:r>
            <w:proofErr w:type="spellStart"/>
            <w:r w:rsidRPr="00152AF2">
              <w:rPr>
                <w:rFonts w:ascii="Times" w:eastAsiaTheme="minorHAnsi" w:hAnsi="Times"/>
                <w:sz w:val="24"/>
                <w:szCs w:val="24"/>
                <w:lang w:val="en-US"/>
              </w:rPr>
              <w:t>Programme</w:t>
            </w:r>
            <w:proofErr w:type="spellEnd"/>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Business and Politics in Modern Asia</w:t>
            </w:r>
          </w:p>
        </w:tc>
      </w:tr>
      <w:tr w:rsidR="003B12F2" w:rsidRPr="00152AF2"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 xml:space="preserve"> elective</w:t>
            </w:r>
          </w:p>
        </w:tc>
      </w:tr>
      <w:tr w:rsidR="003B12F2" w:rsidRPr="00E276AB" w:rsidTr="007E3B9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3B12F2" w:rsidRPr="00152AF2" w:rsidRDefault="003B12F2" w:rsidP="003B12F2">
            <w:pPr>
              <w:pStyle w:val="a3"/>
              <w:numPr>
                <w:ilvl w:val="0"/>
                <w:numId w:val="1"/>
              </w:numPr>
              <w:rPr>
                <w:rFonts w:ascii="Times" w:eastAsiaTheme="minorHAnsi" w:hAnsi="Times"/>
                <w:lang w:val="en-US"/>
              </w:rPr>
            </w:pPr>
            <w:r w:rsidRPr="00152AF2">
              <w:rPr>
                <w:rFonts w:ascii="Times" w:eastAsiaTheme="minorHAnsi" w:hAnsi="Times"/>
                <w:lang w:val="en-US"/>
              </w:rPr>
              <w:t xml:space="preserve">Basic knowledge of modern history </w:t>
            </w:r>
          </w:p>
          <w:p w:rsidR="003B12F2" w:rsidRPr="00152AF2" w:rsidRDefault="003B12F2" w:rsidP="003B12F2">
            <w:pPr>
              <w:pStyle w:val="a3"/>
              <w:numPr>
                <w:ilvl w:val="0"/>
                <w:numId w:val="1"/>
              </w:numPr>
              <w:rPr>
                <w:rFonts w:ascii="Times" w:eastAsiaTheme="minorHAnsi" w:hAnsi="Times"/>
                <w:lang w:val="en-US"/>
              </w:rPr>
            </w:pPr>
            <w:r w:rsidRPr="00152AF2">
              <w:rPr>
                <w:rFonts w:ascii="Times" w:eastAsiaTheme="minorHAnsi" w:hAnsi="Times"/>
                <w:lang w:val="en-US"/>
              </w:rPr>
              <w:t xml:space="preserve">General knowledge of the history of international organizations </w:t>
            </w:r>
          </w:p>
          <w:p w:rsidR="003B12F2" w:rsidRPr="00152AF2" w:rsidRDefault="003B12F2" w:rsidP="003B12F2">
            <w:pPr>
              <w:pStyle w:val="a3"/>
              <w:numPr>
                <w:ilvl w:val="0"/>
                <w:numId w:val="1"/>
              </w:numPr>
              <w:rPr>
                <w:rFonts w:ascii="Times" w:eastAsiaTheme="minorHAnsi" w:hAnsi="Times"/>
                <w:lang w:val="en-US"/>
              </w:rPr>
            </w:pPr>
            <w:r w:rsidRPr="00152AF2">
              <w:rPr>
                <w:rFonts w:ascii="Times" w:eastAsiaTheme="minorHAnsi" w:hAnsi="Times"/>
                <w:lang w:val="en-US"/>
              </w:rPr>
              <w:t xml:space="preserve">Basic knowledge of the main social/political theories </w:t>
            </w:r>
          </w:p>
        </w:tc>
      </w:tr>
      <w:tr w:rsidR="003B12F2" w:rsidRPr="00152AF2" w:rsidTr="007E3B98">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3B12F2" w:rsidRPr="00E276AB" w:rsidRDefault="00E276AB" w:rsidP="007E3B98">
            <w:pPr>
              <w:spacing w:after="0" w:line="240" w:lineRule="auto"/>
              <w:rPr>
                <w:rFonts w:ascii="Times" w:eastAsiaTheme="minorHAnsi" w:hAnsi="Times"/>
                <w:sz w:val="24"/>
                <w:szCs w:val="24"/>
              </w:rPr>
            </w:pPr>
            <w:r>
              <w:rPr>
                <w:rFonts w:ascii="Times" w:eastAsiaTheme="minorHAnsi" w:hAnsi="Times"/>
                <w:sz w:val="24"/>
                <w:szCs w:val="24"/>
              </w:rPr>
              <w:t>4</w:t>
            </w:r>
          </w:p>
        </w:tc>
      </w:tr>
      <w:tr w:rsidR="003B12F2" w:rsidRPr="00152AF2" w:rsidTr="007E3B98">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Total</w:t>
            </w:r>
          </w:p>
        </w:tc>
      </w:tr>
      <w:tr w:rsidR="003B12F2" w:rsidRPr="00152AF2" w:rsidTr="007E3B98">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3B12F2" w:rsidRPr="00152AF2" w:rsidRDefault="003B12F2" w:rsidP="007E3B98">
            <w:pPr>
              <w:spacing w:after="0" w:line="240" w:lineRule="auto"/>
              <w:rPr>
                <w:rFonts w:ascii="Times" w:eastAsiaTheme="minorHAnsi" w:hAnsi="Times"/>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B12F2" w:rsidRPr="00E276AB" w:rsidRDefault="00E276AB" w:rsidP="007E3B98">
            <w:pPr>
              <w:spacing w:after="0" w:line="240" w:lineRule="auto"/>
              <w:rPr>
                <w:rFonts w:ascii="Times" w:eastAsiaTheme="minorHAnsi" w:hAnsi="Times"/>
                <w:color w:val="FF0000"/>
                <w:sz w:val="24"/>
                <w:szCs w:val="24"/>
              </w:rPr>
            </w:pPr>
            <w:r>
              <w:rPr>
                <w:rFonts w:ascii="Times" w:eastAsiaTheme="minorHAnsi" w:hAnsi="Times"/>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3B12F2" w:rsidRPr="00E276AB" w:rsidRDefault="00E276AB" w:rsidP="007E3B98">
            <w:pPr>
              <w:spacing w:after="0" w:line="240" w:lineRule="auto"/>
              <w:rPr>
                <w:rFonts w:ascii="Times" w:eastAsiaTheme="minorHAnsi" w:hAnsi="Times"/>
                <w:color w:val="FF0000"/>
                <w:sz w:val="24"/>
                <w:szCs w:val="24"/>
              </w:rPr>
            </w:pPr>
            <w:r>
              <w:rPr>
                <w:rFonts w:ascii="Times" w:eastAsiaTheme="minorHAnsi" w:hAnsi="Times"/>
                <w:sz w:val="24"/>
                <w:szCs w:val="24"/>
              </w:rPr>
              <w:t>120</w:t>
            </w:r>
          </w:p>
        </w:tc>
        <w:tc>
          <w:tcPr>
            <w:tcW w:w="2552" w:type="dxa"/>
            <w:tcBorders>
              <w:top w:val="single" w:sz="4" w:space="0" w:color="auto"/>
              <w:left w:val="single" w:sz="4" w:space="0" w:color="auto"/>
              <w:bottom w:val="single" w:sz="4" w:space="0" w:color="auto"/>
              <w:right w:val="single" w:sz="4" w:space="0" w:color="auto"/>
            </w:tcBorders>
          </w:tcPr>
          <w:p w:rsidR="00E276AB" w:rsidRPr="00E276AB" w:rsidRDefault="00E276AB" w:rsidP="007E3B98">
            <w:pPr>
              <w:spacing w:after="0" w:line="240" w:lineRule="auto"/>
              <w:rPr>
                <w:rFonts w:ascii="Times" w:eastAsiaTheme="minorHAnsi" w:hAnsi="Times"/>
                <w:sz w:val="24"/>
                <w:szCs w:val="24"/>
              </w:rPr>
            </w:pPr>
            <w:r>
              <w:rPr>
                <w:rFonts w:ascii="Times" w:eastAsiaTheme="minorHAnsi" w:hAnsi="Times"/>
                <w:sz w:val="24"/>
                <w:szCs w:val="24"/>
              </w:rPr>
              <w:t>152</w:t>
            </w:r>
            <w:bookmarkStart w:id="0" w:name="_GoBack"/>
            <w:bookmarkEnd w:id="0"/>
          </w:p>
        </w:tc>
      </w:tr>
      <w:tr w:rsidR="003B12F2" w:rsidRPr="00E276AB"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B12F2" w:rsidRPr="00152AF2" w:rsidRDefault="003B12F2" w:rsidP="007E3B98">
            <w:pPr>
              <w:spacing w:after="0"/>
              <w:jc w:val="both"/>
              <w:rPr>
                <w:rFonts w:ascii="Times" w:eastAsiaTheme="minorHAnsi" w:hAnsi="Times"/>
                <w:sz w:val="24"/>
                <w:szCs w:val="24"/>
                <w:lang w:val="en-US"/>
              </w:rPr>
            </w:pPr>
            <w:r w:rsidRPr="00152AF2">
              <w:rPr>
                <w:rFonts w:ascii="Times" w:eastAsiaTheme="minorHAnsi" w:hAnsi="Times"/>
                <w:sz w:val="24"/>
                <w:szCs w:val="24"/>
                <w:lang w:val="en-US"/>
              </w:rPr>
              <w:t xml:space="preserve">The overall aim of the course is to introduce students to the complex process of the Global South formation through discussion of the prospects of the BRICS countries club. The course will focus upon both theoretical (plural modernity theories, new understandings of the development etc.) and empirical (development of the new </w:t>
            </w:r>
            <w:proofErr w:type="spellStart"/>
            <w:r w:rsidRPr="00152AF2">
              <w:rPr>
                <w:rFonts w:ascii="Times" w:eastAsiaTheme="minorHAnsi" w:hAnsi="Times"/>
                <w:sz w:val="24"/>
                <w:szCs w:val="24"/>
                <w:lang w:val="en-US"/>
              </w:rPr>
              <w:t>centres</w:t>
            </w:r>
            <w:proofErr w:type="spellEnd"/>
            <w:r w:rsidRPr="00152AF2">
              <w:rPr>
                <w:rFonts w:ascii="Times" w:eastAsiaTheme="minorHAnsi" w:hAnsi="Times"/>
                <w:sz w:val="24"/>
                <w:szCs w:val="24"/>
                <w:lang w:val="en-US"/>
              </w:rPr>
              <w:t xml:space="preserve"> of power, formation of multipolar world etc.) foundations for the development of the Global South concept.     </w:t>
            </w:r>
          </w:p>
        </w:tc>
      </w:tr>
      <w:tr w:rsidR="003B12F2" w:rsidRPr="00E276AB"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Intended Learning Outcomes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The students will get skills necessary to be able to:</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 xml:space="preserve">- effectively </w:t>
            </w:r>
            <w:proofErr w:type="spellStart"/>
            <w:r w:rsidRPr="00152AF2">
              <w:rPr>
                <w:rFonts w:ascii="Times" w:eastAsiaTheme="minorHAnsi" w:hAnsi="Times"/>
                <w:sz w:val="24"/>
                <w:szCs w:val="24"/>
                <w:lang w:val="en-US"/>
              </w:rPr>
              <w:t>analyse</w:t>
            </w:r>
            <w:proofErr w:type="spellEnd"/>
            <w:r w:rsidRPr="00152AF2">
              <w:rPr>
                <w:rFonts w:ascii="Times" w:eastAsiaTheme="minorHAnsi" w:hAnsi="Times"/>
                <w:sz w:val="24"/>
                <w:szCs w:val="24"/>
                <w:lang w:val="en-US"/>
              </w:rPr>
              <w:t xml:space="preserve"> theoretical foundations for international integration processes; </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 xml:space="preserve">- compare various development trends in different regions of the world; </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 xml:space="preserve">- discuss important politically sensitive issues in complex multicultural environment    </w:t>
            </w:r>
          </w:p>
        </w:tc>
      </w:tr>
      <w:tr w:rsidR="003B12F2" w:rsidRPr="00E276AB"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The course will include:</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Lectures and seminars</w:t>
            </w:r>
          </w:p>
        </w:tc>
      </w:tr>
      <w:tr w:rsidR="003B12F2" w:rsidRPr="00E276AB"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imes New Roman" w:hAnsi="Times"/>
                <w:sz w:val="24"/>
                <w:szCs w:val="24"/>
                <w:lang w:val="en-US" w:eastAsia="ru-RU"/>
              </w:rPr>
              <w:t>Students’ progress will be measured by assessment of an individual presentation (35%), attendance (15%) and a final exam. The final exam will be in the form of an oral exam that amounts to 50% of the final grade.</w:t>
            </w:r>
          </w:p>
        </w:tc>
      </w:tr>
      <w:tr w:rsidR="003B12F2" w:rsidRPr="00152AF2"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Readings / Indicative Learning Resources</w:t>
            </w:r>
          </w:p>
          <w:p w:rsidR="003B12F2" w:rsidRPr="00152AF2" w:rsidRDefault="003B12F2" w:rsidP="007E3B98">
            <w:pPr>
              <w:spacing w:after="0" w:line="240" w:lineRule="auto"/>
              <w:rPr>
                <w:rFonts w:ascii="Times" w:eastAsiaTheme="minorHAnsi" w:hAnsi="Times"/>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B12F2" w:rsidRPr="00ED0131" w:rsidRDefault="003B12F2" w:rsidP="007E3B98">
            <w:pPr>
              <w:spacing w:after="0" w:line="240" w:lineRule="auto"/>
              <w:rPr>
                <w:rFonts w:ascii="Times" w:eastAsiaTheme="minorHAnsi" w:hAnsi="Times"/>
                <w:sz w:val="24"/>
                <w:szCs w:val="24"/>
                <w:u w:val="single"/>
                <w:lang w:val="en-US"/>
              </w:rPr>
            </w:pPr>
            <w:r w:rsidRPr="00ED0131">
              <w:rPr>
                <w:rFonts w:ascii="Times" w:eastAsiaTheme="minorHAnsi" w:hAnsi="Times"/>
                <w:sz w:val="24"/>
                <w:szCs w:val="24"/>
                <w:u w:val="single"/>
                <w:lang w:val="en-US"/>
              </w:rPr>
              <w:t xml:space="preserve">Mandatory </w:t>
            </w:r>
          </w:p>
          <w:p w:rsidR="003B12F2" w:rsidRPr="00ED0131" w:rsidRDefault="003B12F2" w:rsidP="003B12F2">
            <w:pPr>
              <w:pStyle w:val="a3"/>
              <w:widowControl w:val="0"/>
              <w:numPr>
                <w:ilvl w:val="0"/>
                <w:numId w:val="2"/>
              </w:numPr>
              <w:autoSpaceDE w:val="0"/>
              <w:autoSpaceDN w:val="0"/>
              <w:adjustRightInd w:val="0"/>
              <w:jc w:val="both"/>
              <w:rPr>
                <w:rFonts w:ascii="Times" w:hAnsi="Times"/>
                <w:lang w:val="en-US"/>
              </w:rPr>
            </w:pPr>
            <w:r w:rsidRPr="00ED0131">
              <w:rPr>
                <w:rFonts w:ascii="Times" w:hAnsi="Times"/>
                <w:lang w:val="en-US"/>
              </w:rPr>
              <w:t xml:space="preserve">Fan, Y. (2016). New Concept for Development: the Logic behind Emerging Economies’ Cooperation, in </w:t>
            </w:r>
            <w:proofErr w:type="spellStart"/>
            <w:r w:rsidRPr="00ED0131">
              <w:rPr>
                <w:rFonts w:ascii="Times" w:hAnsi="Times"/>
                <w:i/>
                <w:lang w:val="en-US"/>
              </w:rPr>
              <w:t>InBRICS</w:t>
            </w:r>
            <w:proofErr w:type="spellEnd"/>
            <w:r w:rsidRPr="00ED0131">
              <w:rPr>
                <w:rFonts w:ascii="Times" w:hAnsi="Times"/>
                <w:i/>
                <w:lang w:val="en-US"/>
              </w:rPr>
              <w:t xml:space="preserve">, </w:t>
            </w:r>
            <w:proofErr w:type="spellStart"/>
            <w:r w:rsidRPr="00ED0131">
              <w:rPr>
                <w:rFonts w:ascii="Times" w:hAnsi="Times"/>
                <w:lang w:val="en-US"/>
              </w:rPr>
              <w:t>Ekaterinburg</w:t>
            </w:r>
            <w:proofErr w:type="spellEnd"/>
            <w:r w:rsidRPr="00ED0131">
              <w:rPr>
                <w:rFonts w:ascii="Times" w:hAnsi="Times"/>
                <w:lang w:val="en-US"/>
              </w:rPr>
              <w:t>, pp. 3-12.</w:t>
            </w:r>
          </w:p>
          <w:p w:rsidR="003B12F2" w:rsidRPr="00ED0131" w:rsidRDefault="003B12F2" w:rsidP="003B12F2">
            <w:pPr>
              <w:pStyle w:val="a3"/>
              <w:widowControl w:val="0"/>
              <w:numPr>
                <w:ilvl w:val="0"/>
                <w:numId w:val="2"/>
              </w:numPr>
              <w:autoSpaceDE w:val="0"/>
              <w:autoSpaceDN w:val="0"/>
              <w:adjustRightInd w:val="0"/>
              <w:jc w:val="both"/>
              <w:rPr>
                <w:rFonts w:ascii="Times" w:eastAsiaTheme="minorHAnsi" w:hAnsi="Times"/>
                <w:lang w:val="en-US"/>
              </w:rPr>
            </w:pPr>
            <w:proofErr w:type="spellStart"/>
            <w:r w:rsidRPr="00ED0131">
              <w:rPr>
                <w:rFonts w:ascii="Times" w:hAnsi="Times"/>
                <w:lang w:val="en-US"/>
              </w:rPr>
              <w:t>Altbach</w:t>
            </w:r>
            <w:proofErr w:type="spellEnd"/>
            <w:r w:rsidRPr="00ED0131">
              <w:rPr>
                <w:rFonts w:ascii="Times" w:hAnsi="Times"/>
                <w:lang w:val="en-US"/>
              </w:rPr>
              <w:t xml:space="preserve"> Ph. G. &amp; Basset R.M. (2014). Nix the BRICs – at Least for Higher Education Debate, in </w:t>
            </w:r>
            <w:r w:rsidRPr="00ED0131">
              <w:rPr>
                <w:rFonts w:ascii="Times" w:hAnsi="Times"/>
                <w:i/>
                <w:lang w:val="en-US"/>
              </w:rPr>
              <w:t xml:space="preserve">International Higher Education, </w:t>
            </w:r>
            <w:r w:rsidRPr="00ED0131">
              <w:rPr>
                <w:rFonts w:ascii="Times" w:hAnsi="Times"/>
                <w:lang w:val="en-US"/>
              </w:rPr>
              <w:t xml:space="preserve">77, pp. 2-5. </w:t>
            </w:r>
          </w:p>
          <w:p w:rsidR="003B12F2" w:rsidRPr="00ED0131" w:rsidRDefault="003B12F2" w:rsidP="003B12F2">
            <w:pPr>
              <w:pStyle w:val="a3"/>
              <w:widowControl w:val="0"/>
              <w:numPr>
                <w:ilvl w:val="0"/>
                <w:numId w:val="2"/>
              </w:numPr>
              <w:autoSpaceDE w:val="0"/>
              <w:autoSpaceDN w:val="0"/>
              <w:adjustRightInd w:val="0"/>
              <w:jc w:val="both"/>
              <w:rPr>
                <w:rFonts w:ascii="Times" w:eastAsiaTheme="minorHAnsi" w:hAnsi="Times"/>
                <w:lang w:val="en-US"/>
              </w:rPr>
            </w:pPr>
            <w:r w:rsidRPr="00ED0131">
              <w:rPr>
                <w:rFonts w:ascii="Times" w:eastAsiaTheme="minorHAnsi" w:hAnsi="Times"/>
                <w:lang w:val="en-US"/>
              </w:rPr>
              <w:t xml:space="preserve">Peter Wagner (2017). Finding </w:t>
            </w:r>
            <w:proofErr w:type="gramStart"/>
            <w:r w:rsidRPr="00ED0131">
              <w:rPr>
                <w:rFonts w:ascii="Times" w:eastAsiaTheme="minorHAnsi" w:hAnsi="Times"/>
                <w:lang w:val="en-US"/>
              </w:rPr>
              <w:t>One’s</w:t>
            </w:r>
            <w:proofErr w:type="gramEnd"/>
            <w:r w:rsidRPr="00ED0131">
              <w:rPr>
                <w:rFonts w:ascii="Times" w:eastAsiaTheme="minorHAnsi" w:hAnsi="Times"/>
                <w:lang w:val="en-US"/>
              </w:rPr>
              <w:t xml:space="preserve"> way in Global Social Space, in </w:t>
            </w:r>
            <w:r w:rsidRPr="00ED0131">
              <w:rPr>
                <w:rFonts w:ascii="Times" w:eastAsiaTheme="minorHAnsi" w:hAnsi="Times"/>
                <w:i/>
                <w:lang w:val="en-US"/>
              </w:rPr>
              <w:t>The Moral Mapping of South and North</w:t>
            </w:r>
            <w:r w:rsidRPr="00ED0131">
              <w:rPr>
                <w:rFonts w:ascii="Times" w:eastAsiaTheme="minorHAnsi" w:hAnsi="Times"/>
                <w:lang w:val="en-US"/>
              </w:rPr>
              <w:t>, Edinburgh University Press.</w:t>
            </w:r>
          </w:p>
          <w:p w:rsidR="003B12F2" w:rsidRPr="00152AF2" w:rsidRDefault="003B12F2" w:rsidP="003B12F2">
            <w:pPr>
              <w:pStyle w:val="a3"/>
              <w:widowControl w:val="0"/>
              <w:numPr>
                <w:ilvl w:val="0"/>
                <w:numId w:val="2"/>
              </w:numPr>
              <w:autoSpaceDE w:val="0"/>
              <w:autoSpaceDN w:val="0"/>
              <w:adjustRightInd w:val="0"/>
              <w:jc w:val="both"/>
              <w:rPr>
                <w:rFonts w:ascii="Times" w:eastAsiaTheme="minorHAnsi" w:hAnsi="Times"/>
                <w:lang w:val="en-US"/>
              </w:rPr>
            </w:pPr>
            <w:r w:rsidRPr="00152AF2">
              <w:rPr>
                <w:rFonts w:ascii="Times" w:eastAsiaTheme="minorHAnsi" w:hAnsi="Times"/>
                <w:lang w:val="en-US"/>
              </w:rPr>
              <w:t xml:space="preserve">BRICS Summits Declarations of </w:t>
            </w:r>
            <w:proofErr w:type="spellStart"/>
            <w:r w:rsidRPr="00152AF2">
              <w:rPr>
                <w:rFonts w:ascii="Times" w:eastAsiaTheme="minorHAnsi" w:hAnsi="Times"/>
                <w:lang w:val="en-US"/>
              </w:rPr>
              <w:t>Ekaterinburg</w:t>
            </w:r>
            <w:proofErr w:type="spellEnd"/>
            <w:r w:rsidRPr="00152AF2">
              <w:rPr>
                <w:rFonts w:ascii="Times" w:eastAsiaTheme="minorHAnsi" w:hAnsi="Times"/>
                <w:lang w:val="en-US"/>
              </w:rPr>
              <w:t xml:space="preserve"> (2009), Fortaleza (2014), Ufa (2015), Goa (2016), and Xiamen (2017).  </w:t>
            </w:r>
          </w:p>
          <w:p w:rsidR="003B12F2" w:rsidRPr="00152AF2" w:rsidRDefault="003B12F2" w:rsidP="007E3B98">
            <w:pPr>
              <w:spacing w:after="0" w:line="240" w:lineRule="auto"/>
              <w:rPr>
                <w:rFonts w:ascii="Times" w:eastAsiaTheme="minorHAnsi" w:hAnsi="Times"/>
                <w:sz w:val="24"/>
                <w:szCs w:val="24"/>
                <w:u w:val="single"/>
                <w:lang w:val="en-US"/>
              </w:rPr>
            </w:pPr>
            <w:r w:rsidRPr="00152AF2">
              <w:rPr>
                <w:rFonts w:ascii="Times" w:eastAsiaTheme="minorHAnsi" w:hAnsi="Times"/>
                <w:sz w:val="24"/>
                <w:szCs w:val="24"/>
                <w:u w:val="single"/>
                <w:lang w:val="en-US"/>
              </w:rPr>
              <w:t xml:space="preserve">Optional </w:t>
            </w:r>
          </w:p>
          <w:p w:rsidR="003B12F2" w:rsidRPr="00152AF2" w:rsidRDefault="003B12F2" w:rsidP="003B12F2">
            <w:pPr>
              <w:pStyle w:val="a3"/>
              <w:numPr>
                <w:ilvl w:val="0"/>
                <w:numId w:val="2"/>
              </w:numPr>
              <w:rPr>
                <w:rFonts w:ascii="Times" w:eastAsiaTheme="minorHAnsi" w:hAnsi="Times"/>
                <w:u w:val="single"/>
                <w:lang w:val="en-US"/>
              </w:rPr>
            </w:pPr>
            <w:r w:rsidRPr="00152AF2">
              <w:rPr>
                <w:rFonts w:ascii="Times" w:eastAsiaTheme="minorHAnsi" w:hAnsi="Times"/>
                <w:lang w:val="en-US"/>
              </w:rPr>
              <w:t xml:space="preserve">BRICS Summits Declarations of Brasilia (2010), </w:t>
            </w:r>
            <w:proofErr w:type="spellStart"/>
            <w:r w:rsidRPr="00152AF2">
              <w:rPr>
                <w:rFonts w:ascii="Times" w:eastAsiaTheme="minorHAnsi" w:hAnsi="Times"/>
                <w:lang w:val="en-US"/>
              </w:rPr>
              <w:t>Sanya</w:t>
            </w:r>
            <w:proofErr w:type="spellEnd"/>
            <w:r w:rsidRPr="00152AF2">
              <w:rPr>
                <w:rFonts w:ascii="Times" w:eastAsiaTheme="minorHAnsi" w:hAnsi="Times"/>
                <w:lang w:val="en-US"/>
              </w:rPr>
              <w:t xml:space="preserve"> (2011), Delhi (2012), Durban (2013). </w:t>
            </w:r>
          </w:p>
          <w:p w:rsidR="003B12F2" w:rsidRPr="00152AF2" w:rsidRDefault="003B12F2" w:rsidP="003B12F2">
            <w:pPr>
              <w:pStyle w:val="a3"/>
              <w:widowControl w:val="0"/>
              <w:numPr>
                <w:ilvl w:val="0"/>
                <w:numId w:val="2"/>
              </w:numPr>
              <w:autoSpaceDE w:val="0"/>
              <w:autoSpaceDN w:val="0"/>
              <w:adjustRightInd w:val="0"/>
              <w:jc w:val="both"/>
              <w:rPr>
                <w:rFonts w:ascii="Times" w:eastAsiaTheme="minorHAnsi" w:hAnsi="Times"/>
                <w:lang w:val="en-US"/>
              </w:rPr>
            </w:pPr>
            <w:r w:rsidRPr="00152AF2">
              <w:rPr>
                <w:rFonts w:ascii="Times" w:eastAsiaTheme="minorHAnsi" w:hAnsi="Times"/>
                <w:lang w:val="en-US"/>
              </w:rPr>
              <w:t xml:space="preserve">Peter Wagner, </w:t>
            </w:r>
            <w:proofErr w:type="spellStart"/>
            <w:proofErr w:type="gramStart"/>
            <w:r w:rsidRPr="00152AF2">
              <w:rPr>
                <w:rFonts w:ascii="Times" w:eastAsiaTheme="minorHAnsi" w:hAnsi="Times"/>
                <w:lang w:val="en-US"/>
              </w:rPr>
              <w:t>ed</w:t>
            </w:r>
            <w:proofErr w:type="spellEnd"/>
            <w:proofErr w:type="gramEnd"/>
            <w:r w:rsidRPr="00152AF2">
              <w:rPr>
                <w:rFonts w:ascii="Times" w:eastAsiaTheme="minorHAnsi" w:hAnsi="Times"/>
                <w:lang w:val="en-US"/>
              </w:rPr>
              <w:t xml:space="preserve"> (2017), </w:t>
            </w:r>
            <w:r w:rsidRPr="00152AF2">
              <w:rPr>
                <w:rFonts w:ascii="Times" w:eastAsiaTheme="minorHAnsi" w:hAnsi="Times"/>
                <w:i/>
                <w:lang w:val="en-US"/>
              </w:rPr>
              <w:t>The Moral Mapping of South and North</w:t>
            </w:r>
            <w:r w:rsidRPr="00152AF2">
              <w:rPr>
                <w:rFonts w:ascii="Times" w:eastAsiaTheme="minorHAnsi" w:hAnsi="Times"/>
                <w:lang w:val="en-US"/>
              </w:rPr>
              <w:t>, Edinburgh University Press.</w:t>
            </w:r>
          </w:p>
          <w:p w:rsidR="003B12F2" w:rsidRPr="00152AF2" w:rsidRDefault="003B12F2" w:rsidP="003B12F2">
            <w:pPr>
              <w:pStyle w:val="a3"/>
              <w:widowControl w:val="0"/>
              <w:numPr>
                <w:ilvl w:val="0"/>
                <w:numId w:val="2"/>
              </w:numPr>
              <w:autoSpaceDE w:val="0"/>
              <w:autoSpaceDN w:val="0"/>
              <w:adjustRightInd w:val="0"/>
              <w:jc w:val="both"/>
              <w:rPr>
                <w:rFonts w:ascii="Times" w:eastAsiaTheme="minorHAnsi" w:hAnsi="Times"/>
                <w:lang w:val="en-US"/>
              </w:rPr>
            </w:pPr>
            <w:r w:rsidRPr="00152AF2">
              <w:rPr>
                <w:rFonts w:ascii="Times" w:eastAsiaTheme="minorHAnsi" w:hAnsi="Times"/>
                <w:lang w:val="en-US"/>
              </w:rPr>
              <w:lastRenderedPageBreak/>
              <w:t xml:space="preserve">Peter Wagner, Nathalie </w:t>
            </w:r>
            <w:proofErr w:type="spellStart"/>
            <w:r w:rsidRPr="00152AF2">
              <w:rPr>
                <w:rFonts w:ascii="Times" w:eastAsiaTheme="minorHAnsi" w:hAnsi="Times"/>
                <w:lang w:val="en-US"/>
              </w:rPr>
              <w:t>Karagiannis</w:t>
            </w:r>
            <w:proofErr w:type="spellEnd"/>
            <w:r w:rsidRPr="00152AF2">
              <w:rPr>
                <w:rFonts w:ascii="Times" w:eastAsiaTheme="minorHAnsi" w:hAnsi="Times"/>
                <w:lang w:val="en-US"/>
              </w:rPr>
              <w:t xml:space="preserve">, eds. (2007), Varieties of World-Making </w:t>
            </w:r>
            <w:proofErr w:type="gramStart"/>
            <w:r w:rsidRPr="00152AF2">
              <w:rPr>
                <w:rFonts w:ascii="Times" w:eastAsiaTheme="minorHAnsi" w:hAnsi="Times"/>
                <w:lang w:val="en-US"/>
              </w:rPr>
              <w:t>Beyond</w:t>
            </w:r>
            <w:proofErr w:type="gramEnd"/>
            <w:r w:rsidRPr="00152AF2">
              <w:rPr>
                <w:rFonts w:ascii="Times" w:eastAsiaTheme="minorHAnsi" w:hAnsi="Times"/>
                <w:lang w:val="en-US"/>
              </w:rPr>
              <w:t xml:space="preserve"> Globalization, Liverpool University Press.</w:t>
            </w:r>
          </w:p>
          <w:p w:rsidR="003B12F2" w:rsidRPr="00152AF2" w:rsidRDefault="003B12F2" w:rsidP="003B12F2">
            <w:pPr>
              <w:pStyle w:val="a3"/>
              <w:widowControl w:val="0"/>
              <w:numPr>
                <w:ilvl w:val="0"/>
                <w:numId w:val="2"/>
              </w:numPr>
              <w:autoSpaceDE w:val="0"/>
              <w:autoSpaceDN w:val="0"/>
              <w:adjustRightInd w:val="0"/>
              <w:jc w:val="both"/>
              <w:rPr>
                <w:rFonts w:ascii="Times" w:eastAsiaTheme="minorHAnsi" w:hAnsi="Times"/>
                <w:lang w:val="en-US"/>
              </w:rPr>
            </w:pPr>
            <w:r w:rsidRPr="00152AF2">
              <w:rPr>
                <w:rFonts w:ascii="Times" w:eastAsiaTheme="minorHAnsi" w:hAnsi="Times"/>
                <w:lang w:val="en-US"/>
              </w:rPr>
              <w:t xml:space="preserve">M. </w:t>
            </w:r>
            <w:proofErr w:type="spellStart"/>
            <w:r w:rsidRPr="00152AF2">
              <w:rPr>
                <w:rFonts w:ascii="Times" w:eastAsiaTheme="minorHAnsi" w:hAnsi="Times"/>
                <w:lang w:val="en-US"/>
              </w:rPr>
              <w:t>Carnoy</w:t>
            </w:r>
            <w:proofErr w:type="spellEnd"/>
            <w:r w:rsidRPr="00152AF2">
              <w:rPr>
                <w:rFonts w:ascii="Times" w:eastAsiaTheme="minorHAnsi" w:hAnsi="Times"/>
                <w:lang w:val="en-US"/>
              </w:rPr>
              <w:t xml:space="preserve"> et al. (2013), </w:t>
            </w:r>
            <w:r w:rsidRPr="00152AF2">
              <w:rPr>
                <w:rFonts w:ascii="Times" w:eastAsiaTheme="minorHAnsi" w:hAnsi="Times"/>
                <w:i/>
                <w:lang w:val="en-US"/>
              </w:rPr>
              <w:t>University expansion in a Global Changing Economy: Triumph of the BRICS</w:t>
            </w:r>
            <w:proofErr w:type="gramStart"/>
            <w:r w:rsidRPr="00152AF2">
              <w:rPr>
                <w:rFonts w:ascii="Times" w:eastAsiaTheme="minorHAnsi" w:hAnsi="Times"/>
                <w:i/>
                <w:lang w:val="en-US"/>
              </w:rPr>
              <w:t>?</w:t>
            </w:r>
            <w:r w:rsidRPr="00152AF2">
              <w:rPr>
                <w:rFonts w:ascii="Times" w:eastAsiaTheme="minorHAnsi" w:hAnsi="Times"/>
                <w:lang w:val="en-US"/>
              </w:rPr>
              <w:t>,</w:t>
            </w:r>
            <w:proofErr w:type="gramEnd"/>
            <w:r w:rsidRPr="00152AF2">
              <w:rPr>
                <w:rFonts w:ascii="Times" w:eastAsiaTheme="minorHAnsi" w:hAnsi="Times"/>
                <w:lang w:val="en-US"/>
              </w:rPr>
              <w:t xml:space="preserve"> Stanford University Press.</w:t>
            </w:r>
          </w:p>
          <w:p w:rsidR="003B12F2" w:rsidRPr="00ED0131" w:rsidRDefault="003B12F2" w:rsidP="003B12F2">
            <w:pPr>
              <w:pStyle w:val="a3"/>
              <w:widowControl w:val="0"/>
              <w:numPr>
                <w:ilvl w:val="0"/>
                <w:numId w:val="2"/>
              </w:numPr>
              <w:autoSpaceDE w:val="0"/>
              <w:autoSpaceDN w:val="0"/>
              <w:adjustRightInd w:val="0"/>
              <w:jc w:val="both"/>
              <w:rPr>
                <w:rFonts w:ascii="Times" w:eastAsiaTheme="minorHAnsi" w:hAnsi="Times"/>
              </w:rPr>
            </w:pPr>
            <w:r w:rsidRPr="00152AF2">
              <w:rPr>
                <w:rFonts w:ascii="Times" w:eastAsiaTheme="minorHAnsi" w:hAnsi="Times"/>
              </w:rPr>
              <w:t xml:space="preserve">Мир через 100 лет: сборник статей – М.: НП РСМД, 2016.      </w:t>
            </w:r>
          </w:p>
        </w:tc>
      </w:tr>
      <w:tr w:rsidR="003B12F2" w:rsidRPr="00152AF2" w:rsidTr="007E3B98">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Maxim B. Khomyakov</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Dr. Sc. (Philosophy), Professor</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Department of Politics;</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Vice-Director</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National Research University Higher School of Economics</w:t>
            </w:r>
          </w:p>
          <w:p w:rsidR="003B12F2" w:rsidRPr="00152AF2" w:rsidRDefault="003B12F2" w:rsidP="007E3B98">
            <w:pPr>
              <w:spacing w:after="0" w:line="240" w:lineRule="auto"/>
              <w:rPr>
                <w:rFonts w:ascii="Times" w:eastAsiaTheme="minorHAnsi" w:hAnsi="Times"/>
                <w:sz w:val="24"/>
                <w:szCs w:val="24"/>
                <w:lang w:val="en-US"/>
              </w:rPr>
            </w:pPr>
            <w:r w:rsidRPr="00152AF2">
              <w:rPr>
                <w:rFonts w:ascii="Times" w:eastAsiaTheme="minorHAnsi" w:hAnsi="Times"/>
                <w:sz w:val="24"/>
                <w:szCs w:val="24"/>
                <w:lang w:val="en-US"/>
              </w:rPr>
              <w:t>mhomyakov@hse.ru</w:t>
            </w:r>
          </w:p>
        </w:tc>
      </w:tr>
    </w:tbl>
    <w:p w:rsidR="00D60D57" w:rsidRDefault="00D60D57"/>
    <w:sectPr w:rsidR="00D60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2C24"/>
    <w:multiLevelType w:val="hybridMultilevel"/>
    <w:tmpl w:val="EC4E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9526E"/>
    <w:multiLevelType w:val="hybridMultilevel"/>
    <w:tmpl w:val="A208A4E0"/>
    <w:lvl w:ilvl="0" w:tplc="F5045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02"/>
    <w:rsid w:val="003B12F2"/>
    <w:rsid w:val="005B0B02"/>
    <w:rsid w:val="00D60D57"/>
    <w:rsid w:val="00E2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F2"/>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F2"/>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Company>НИУ ВШЭ СПб</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Светлана Алексеевна</dc:creator>
  <cp:keywords/>
  <dc:description/>
  <cp:lastModifiedBy>Князева Светлана Алексеевна</cp:lastModifiedBy>
  <cp:revision>3</cp:revision>
  <dcterms:created xsi:type="dcterms:W3CDTF">2018-04-17T08:53:00Z</dcterms:created>
  <dcterms:modified xsi:type="dcterms:W3CDTF">2019-03-13T14:50:00Z</dcterms:modified>
</cp:coreProperties>
</file>