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B4B62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D30D9F" w:rsidRPr="00DB4B62">
        <w:rPr>
          <w:rFonts w:ascii="Times New Roman" w:eastAsiaTheme="minorHAnsi" w:hAnsi="Times New Roman"/>
          <w:b/>
          <w:sz w:val="24"/>
          <w:szCs w:val="24"/>
          <w:lang w:val="en-US"/>
        </w:rPr>
        <w:t>Syllabus</w:t>
      </w:r>
    </w:p>
    <w:p w:rsidR="00AC44B9" w:rsidRPr="00DB4B62" w:rsidRDefault="00AC44B9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3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1"/>
        <w:gridCol w:w="6"/>
        <w:gridCol w:w="2100"/>
        <w:gridCol w:w="635"/>
        <w:gridCol w:w="848"/>
        <w:gridCol w:w="1157"/>
        <w:gridCol w:w="565"/>
        <w:gridCol w:w="711"/>
        <w:gridCol w:w="1559"/>
        <w:gridCol w:w="225"/>
      </w:tblGrid>
      <w:tr w:rsidR="007E1BF3" w:rsidRPr="00E22E05" w:rsidTr="008A6C08">
        <w:trPr>
          <w:gridAfter w:val="1"/>
          <w:wAfter w:w="225" w:type="dxa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575" w:type="dxa"/>
            <w:gridSpan w:val="7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A66587" w:rsidP="008A6C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Economic and Social Statistics </w:t>
            </w:r>
            <w:bookmarkEnd w:id="0"/>
            <w:r w:rsidR="00D6655A" w:rsidRPr="00DB4B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(offered in English)</w:t>
            </w:r>
          </w:p>
        </w:tc>
      </w:tr>
      <w:tr w:rsidR="007E1BF3" w:rsidRPr="00E22E05" w:rsidTr="008A6C08">
        <w:trPr>
          <w:gridAfter w:val="1"/>
          <w:wAfter w:w="225" w:type="dxa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5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BF3" w:rsidRPr="00DB4B62" w:rsidRDefault="00D93302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 </w:t>
            </w:r>
            <w:r w:rsidR="007E1BF3" w:rsidRPr="00DB4B62">
              <w:rPr>
                <w:rFonts w:ascii="Times New Roman" w:hAnsi="Times New Roman"/>
                <w:sz w:val="24"/>
                <w:szCs w:val="24"/>
                <w:lang w:val="en-US"/>
              </w:rPr>
              <w:t>“S</w:t>
            </w: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ociology and Social Informatics</w:t>
            </w:r>
            <w:r w:rsidR="007E1BF3" w:rsidRPr="00DB4B6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7E1BF3" w:rsidRPr="00DB4B62" w:rsidTr="008A6C08">
        <w:trPr>
          <w:gridAfter w:val="1"/>
          <w:wAfter w:w="225" w:type="dxa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575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1BF3" w:rsidRPr="00DB4B62" w:rsidRDefault="00E41CAB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7E1BF3" w:rsidRPr="00E22E05" w:rsidTr="008A6C08">
        <w:trPr>
          <w:gridAfter w:val="1"/>
          <w:wAfter w:w="225" w:type="dxa"/>
          <w:trHeight w:val="230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575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B429BD" w:rsidRDefault="00B429BD" w:rsidP="00E41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Economic Theory</w:t>
            </w:r>
            <w:r w:rsidR="00A66587"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Probability Theory and Mathematical </w:t>
            </w:r>
            <w:r w:rsidRPr="00AC44B9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Statistics</w:t>
            </w:r>
            <w:r w:rsidR="00A66587"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Data Analysis in Sociology</w:t>
            </w:r>
            <w:r w:rsidR="00A66587"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Sociological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Theory</w:t>
            </w:r>
            <w:r w:rsidR="00A66587"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Social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Structure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8F791C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and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Social</w:t>
            </w:r>
            <w:r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Stratification</w:t>
            </w:r>
            <w:r w:rsidR="00A66587" w:rsidRPr="00B429B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E1BF3" w:rsidRPr="00DB4B62" w:rsidTr="008A6C08">
        <w:trPr>
          <w:gridAfter w:val="1"/>
          <w:wAfter w:w="225" w:type="dxa"/>
          <w:trHeight w:val="230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7575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B03CE5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E1BF3" w:rsidRPr="00DB4B62" w:rsidTr="008A6C08">
        <w:trPr>
          <w:gridAfter w:val="1"/>
          <w:wAfter w:w="225" w:type="dxa"/>
          <w:trHeight w:val="217"/>
        </w:trPr>
        <w:tc>
          <w:tcPr>
            <w:tcW w:w="2552" w:type="dxa"/>
            <w:gridSpan w:val="3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73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70" w:type="dxa"/>
            <w:gridSpan w:val="3"/>
            <w:shd w:val="clear" w:color="auto" w:fill="auto"/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7E1BF3" w:rsidRPr="00DB4B62" w:rsidTr="008A6C08">
        <w:trPr>
          <w:gridAfter w:val="1"/>
          <w:wAfter w:w="225" w:type="dxa"/>
          <w:trHeight w:val="216"/>
        </w:trPr>
        <w:tc>
          <w:tcPr>
            <w:tcW w:w="2552" w:type="dxa"/>
            <w:gridSpan w:val="3"/>
            <w:vMerge/>
            <w:vAlign w:val="center"/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B03CE5" w:rsidRDefault="00B03CE5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0" w:type="dxa"/>
            <w:gridSpan w:val="3"/>
          </w:tcPr>
          <w:p w:rsidR="007E1BF3" w:rsidRPr="00B03CE5" w:rsidRDefault="00B03CE5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70" w:type="dxa"/>
            <w:gridSpan w:val="2"/>
          </w:tcPr>
          <w:p w:rsidR="007E1BF3" w:rsidRPr="00B03CE5" w:rsidRDefault="00B03CE5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E1BF3" w:rsidRPr="00E22E05" w:rsidTr="008A6C08">
        <w:trPr>
          <w:gridAfter w:val="1"/>
          <w:wAfter w:w="225" w:type="dxa"/>
        </w:trPr>
        <w:tc>
          <w:tcPr>
            <w:tcW w:w="2552" w:type="dxa"/>
            <w:gridSpan w:val="3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7E1BF3" w:rsidP="008A6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57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F3" w:rsidRPr="00DB4B62" w:rsidRDefault="00AC44B9" w:rsidP="008A6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hAnsi="Times New Roman"/>
                <w:sz w:val="24"/>
                <w:szCs w:val="24"/>
                <w:lang w:val="en-US"/>
              </w:rPr>
              <w:t>The objectives of mastering the discipline "Ec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onomic and Social Statistics" is</w:t>
            </w:r>
            <w:r w:rsidRPr="00AC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prepare students for independent information-analytical, research, production, applied and project activities using the methodology, methods, sources and data of national and international government statistics.</w:t>
            </w:r>
          </w:p>
        </w:tc>
      </w:tr>
      <w:tr w:rsidR="00080D29" w:rsidRPr="00E22E05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0D29" w:rsidRPr="00DB4B62" w:rsidRDefault="00080D2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4B9" w:rsidRP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</w:t>
            </w: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terminological apparatus of the theory of statistics, methods of collecting and analyzing statistical information.</w:t>
            </w:r>
          </w:p>
          <w:p w:rsidR="00AC44B9" w:rsidRP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Distinguish between statistical and sociological approaches to data collection and processing.</w:t>
            </w:r>
          </w:p>
          <w:p w:rsidR="00AC44B9" w:rsidRP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 the specifics of the methodology of studying social phenomena by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</w:t>
            </w: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methods of state statistics and organization of work of statistical bodies in the Russian Federation, CIS countries, the European Union, the USA and international organizations (UN, World Bank, OECD, etc.).</w:t>
            </w:r>
          </w:p>
          <w:p w:rsid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able to draw up a plan for the use of statistical information in a sociological study and to process the primary and secondary data provided by statistical bodies.</w:t>
            </w:r>
          </w:p>
          <w:p w:rsid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Interpret statistical data using the explanatory capabilities of sociological and economic theory,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 well as taking into consideration </w:t>
            </w: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socio-economic, historical and socio-cultural context.</w:t>
            </w:r>
          </w:p>
          <w:p w:rsidR="00AC44B9" w:rsidRP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Obtain </w:t>
            </w: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skills of independent search and analysis of statistical information;</w:t>
            </w:r>
          </w:p>
          <w:p w:rsidR="00AC44B9" w:rsidRPr="00AC44B9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Acquire experience in processing social, demographic, economic and other relevant empirical information involving a wide range of statistical sources based on the use of modern information technologies.</w:t>
            </w:r>
          </w:p>
          <w:p w:rsidR="00D60EEA" w:rsidRPr="00DB4B62" w:rsidRDefault="00AC44B9" w:rsidP="008A6C08">
            <w:pPr>
              <w:pStyle w:val="a1"/>
              <w:numPr>
                <w:ilvl w:val="0"/>
                <w:numId w:val="24"/>
              </w:numPr>
              <w:spacing w:after="0" w:line="240" w:lineRule="auto"/>
              <w:ind w:hanging="213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Receive practical training of </w:t>
            </w:r>
            <w:r w:rsidRPr="00AC44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skill of analyzing, designing and presenting the results of statistical and sociological research, using national and international statistics in practical tasks, writing analytical notes on a wide range of topics and substantiating research problems with the involvement of statistical information.</w:t>
            </w:r>
          </w:p>
        </w:tc>
      </w:tr>
      <w:tr w:rsidR="00080D29" w:rsidRPr="00E22E05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0D29" w:rsidRPr="00DB4B62" w:rsidRDefault="00080D2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0D29" w:rsidRPr="00DB4B62" w:rsidRDefault="00BA1BB7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 include lecture</w:t>
            </w:r>
            <w:r w:rsidR="00AC44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>, seminars</w:t>
            </w:r>
            <w:r w:rsidR="00202571" w:rsidRPr="00DB4B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7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group work, </w:t>
            </w:r>
            <w:r w:rsidR="00202571" w:rsidRPr="00DB4B62">
              <w:rPr>
                <w:rFonts w:ascii="Times New Roman" w:hAnsi="Times New Roman"/>
                <w:sz w:val="24"/>
                <w:szCs w:val="24"/>
                <w:lang w:val="en-US"/>
              </w:rPr>
              <w:t>practical home</w:t>
            </w: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assignments. </w:t>
            </w:r>
          </w:p>
        </w:tc>
      </w:tr>
      <w:tr w:rsidR="006D2D3A" w:rsidRPr="00E22E05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D2D3A" w:rsidRPr="00DB4B62" w:rsidRDefault="006D2D3A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Topic / Course Chapter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Total</w:t>
            </w:r>
          </w:p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Self-directed Study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2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Tutorials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8A6C08" w:rsidRDefault="008A6C08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research questions</w:t>
            </w:r>
            <w:r w:rsidRPr="008A6C0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and method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8A6C0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of statistics. Organization of state statistics in Russia and abroad. </w:t>
            </w:r>
            <w:r w:rsidRPr="004467C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Statist</w:t>
            </w:r>
            <w:r w:rsidR="004467C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4467C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cal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</w:t>
            </w:r>
            <w:proofErr w:type="spellStart"/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atabase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8A6C08" w:rsidRDefault="008A6C08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Statistical</w:t>
            </w: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observation</w:t>
            </w: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Census.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8A6C08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C0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8A6C08" w:rsidRDefault="008A6C08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Statistical </w:t>
            </w:r>
            <w:r w:rsidRPr="00193BE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tables</w:t>
            </w:r>
            <w:r w:rsidRPr="008A6C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Statistical groupings and classifications.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265A7B" w:rsidRDefault="00265A7B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8A6C08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C0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Statistical indicators. Average values and indicators of variation.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265A7B" w:rsidRDefault="00265A7B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Population statistics. The structure of families and households.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265A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Statistical methods for studying the standard of living of the population. </w:t>
            </w:r>
            <w:proofErr w:type="spellStart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>Statistics</w:t>
            </w:r>
            <w:proofErr w:type="spellEnd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65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financial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differentiation</w:t>
            </w:r>
            <w:proofErr w:type="spellEnd"/>
            <w:r w:rsidR="004467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7C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poverty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Labor and employment statistics. Interregional and international labor migration.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/>
              </w:rPr>
              <w:t>Statistics of education, culture, govern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ance, public and political spheres.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193BE0" w:rsidP="00193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</w:t>
            </w:r>
            <w:r w:rsidR="00265A7B"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series and index analysis. International indices in the study of social, economic and political processes. Statistical indicators of economic security of the country and region.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265A7B" w:rsidRDefault="00265A7B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265A7B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 wealth and the system of national accounts.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4467C5" w:rsidRDefault="00265A7B" w:rsidP="008A6C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Statistics of finance, taxes</w:t>
            </w:r>
            <w:r w:rsid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467C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and</w:t>
            </w:r>
            <w:r w:rsid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investment</w:t>
            </w:r>
            <w:r w:rsidRPr="00265A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6C08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C08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8" w:rsidRPr="004467C5" w:rsidRDefault="004467C5" w:rsidP="004467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Statistics of prices and inflation. Consumption,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economic </w:t>
            </w:r>
            <w:r w:rsidRP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sentiment</w:t>
            </w:r>
            <w:r w:rsidR="006455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4556A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and</w:t>
            </w:r>
            <w:r w:rsidRP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consumer </w:t>
            </w:r>
            <w:r w:rsidRPr="004467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expectations.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C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08" w:rsidRPr="008A6C08" w:rsidRDefault="008A6C08" w:rsidP="008A6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45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Total study hours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D96E9A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D96E9A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74</w:t>
            </w:r>
          </w:p>
        </w:tc>
      </w:tr>
      <w:tr w:rsidR="00475ED9" w:rsidRPr="00E22E05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27E0" w:rsidRDefault="00AC44B9" w:rsidP="00D373B2">
            <w:pPr>
              <w:pStyle w:val="a9"/>
              <w:numPr>
                <w:ilvl w:val="0"/>
                <w:numId w:val="25"/>
              </w:numPr>
              <w:ind w:left="43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Home assignment 1 </w:t>
            </w:r>
            <w:r w:rsidR="00D373B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(</w:t>
            </w:r>
            <w:r w:rsidR="00D373B2" w:rsidRPr="00D373B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1</w:t>
            </w:r>
            <w:r w:rsidR="00BB27E0"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0% of </w:t>
            </w:r>
            <w:r w:rsidR="00312901"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the cumulative grade</w:t>
            </w:r>
            <w:r w:rsidR="00BB27E0"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)</w:t>
            </w:r>
          </w:p>
          <w:p w:rsidR="00AC44B9" w:rsidRDefault="00D373B2" w:rsidP="00D373B2">
            <w:pPr>
              <w:pStyle w:val="a9"/>
              <w:numPr>
                <w:ilvl w:val="0"/>
                <w:numId w:val="25"/>
              </w:numPr>
              <w:ind w:left="43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Home assignment 2 (2</w:t>
            </w:r>
            <w:r w:rsidR="00AC44B9"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0% of the cumulative grade)</w:t>
            </w:r>
          </w:p>
          <w:p w:rsidR="00D373B2" w:rsidRDefault="00D373B2" w:rsidP="00D373B2">
            <w:pPr>
              <w:pStyle w:val="a9"/>
              <w:numPr>
                <w:ilvl w:val="0"/>
                <w:numId w:val="25"/>
              </w:numPr>
              <w:ind w:left="43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Home assignment 3 </w:t>
            </w:r>
            <w:r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(</w:t>
            </w:r>
            <w:r w:rsidRPr="00D373B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2</w:t>
            </w:r>
            <w:r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0% of the cumulative grade)</w:t>
            </w:r>
          </w:p>
          <w:p w:rsidR="00AC44B9" w:rsidRPr="00DB4B62" w:rsidRDefault="00AC44B9" w:rsidP="00D373B2">
            <w:pPr>
              <w:pStyle w:val="a9"/>
              <w:numPr>
                <w:ilvl w:val="0"/>
                <w:numId w:val="25"/>
              </w:numPr>
              <w:ind w:left="43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Seminar Participation (3</w:t>
            </w:r>
            <w:r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0% of the cumulative grade)</w:t>
            </w:r>
          </w:p>
          <w:p w:rsidR="00AC44B9" w:rsidRDefault="00AC44B9" w:rsidP="00D373B2">
            <w:pPr>
              <w:pStyle w:val="a9"/>
              <w:numPr>
                <w:ilvl w:val="0"/>
                <w:numId w:val="25"/>
              </w:numPr>
              <w:ind w:left="43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Control test </w:t>
            </w:r>
            <w:r w:rsidRPr="00DB4B62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(20% of the cumulative grade)</w:t>
            </w:r>
          </w:p>
          <w:p w:rsidR="00AC44B9" w:rsidRDefault="00D96E9A" w:rsidP="00D373B2">
            <w:pPr>
              <w:pStyle w:val="a1"/>
              <w:numPr>
                <w:ilvl w:val="0"/>
                <w:numId w:val="25"/>
              </w:numPr>
              <w:spacing w:after="0" w:line="240" w:lineRule="auto"/>
              <w:ind w:left="437" w:hanging="28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Final test </w:t>
            </w:r>
            <w:r w:rsidR="00AC44B9" w:rsidRPr="00AC44B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exam </w:t>
            </w:r>
            <w:r w:rsidR="00AC44B9" w:rsidRPr="00AC44B9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test) (40% of the final grade, 60% of the final grade is the cumulative grade).</w:t>
            </w:r>
          </w:p>
          <w:p w:rsidR="00475ED9" w:rsidRPr="00AC44B9" w:rsidRDefault="008A2012" w:rsidP="008A6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446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 xml:space="preserve">A </w:t>
            </w:r>
            <w:r w:rsidR="00AC44B9" w:rsidRPr="00446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 xml:space="preserve">500 words essay on the topic of the seminar </w:t>
            </w:r>
            <w:r w:rsidR="00AC44B9" w:rsidRPr="0064556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>compensate</w:t>
            </w:r>
            <w:r w:rsidR="0064556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>s</w:t>
            </w:r>
            <w:r w:rsidR="00AC44B9" w:rsidRPr="00446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 xml:space="preserve"> e</w:t>
            </w:r>
            <w:r w:rsidR="002E667A" w:rsidRPr="004467C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>ach of the m</w:t>
            </w:r>
            <w:r w:rsidR="00AC44B9" w:rsidRPr="00AC44B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GB"/>
              </w:rPr>
              <w:t>issed seminars.</w:t>
            </w:r>
          </w:p>
          <w:p w:rsidR="00C97582" w:rsidRPr="00DB4B62" w:rsidRDefault="00C97582" w:rsidP="008A6C0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Final g</w:t>
            </w:r>
            <w:r w:rsidR="00D96E9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rade equals to 60% cumulative grade added 40% of exam test grade</w:t>
            </w:r>
          </w:p>
          <w:p w:rsidR="00AC44B9" w:rsidRPr="008A6C08" w:rsidRDefault="005370A6" w:rsidP="008A6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final grade </w:t>
            </w:r>
            <w:r w:rsidRPr="00193BE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is rounded</w:t>
            </w:r>
            <w:r w:rsidRPr="00DB4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to algebra rules.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3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Self- Study 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Strategies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lastRenderedPageBreak/>
              <w:t>Type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571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 for seminars / tutorials (lecture materials, mandatory and optional resources)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Assignments for seminars / tutorials / labs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</w:t>
            </w:r>
            <w:r w:rsidR="008A6C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 assignment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475ED9" w:rsidRPr="00DB4B62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ED9" w:rsidRPr="00DB4B62" w:rsidRDefault="00475ED9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5ED9" w:rsidRPr="00DB4B62" w:rsidRDefault="008A6C08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52D56" w:rsidRPr="00E22E05" w:rsidTr="008A6C08">
        <w:tblPrEx>
          <w:tblLook w:val="04A0" w:firstRow="1" w:lastRow="0" w:firstColumn="1" w:lastColumn="0" w:noHBand="0" w:noVBand="1"/>
        </w:tblPrEx>
        <w:trPr>
          <w:gridAfter w:val="1"/>
          <w:wAfter w:w="22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D56" w:rsidRPr="00DB4B62" w:rsidRDefault="00C52D5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  <w:p w:rsidR="00C52D56" w:rsidRPr="00DB4B62" w:rsidRDefault="00C52D5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794" w:rsidRPr="00340794" w:rsidRDefault="00340794" w:rsidP="003407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Mandatory</w:t>
            </w:r>
          </w:p>
          <w:p w:rsidR="00340794" w:rsidRPr="009A25B7" w:rsidRDefault="00340794" w:rsidP="00340794">
            <w:pPr>
              <w:pStyle w:val="a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Hamilton, Kirk, and Cameron Hepburn. 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2017. 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National Wealth: What is Missing, </w:t>
            </w:r>
            <w:proofErr w:type="gramStart"/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Why</w:t>
            </w:r>
            <w:proofErr w:type="gramEnd"/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it Matters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University Press. </w:t>
            </w:r>
            <w:r w:rsidRPr="009A2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9A25B7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http://www.oxfordscholarship.com/view/10.1093/oso/9780198803720.001.0001/oso-9780198803720?rskey=8w4xUZ&amp;result=6</w:t>
              </w:r>
            </w:hyperlink>
          </w:p>
          <w:p w:rsidR="00340794" w:rsidRPr="00340794" w:rsidRDefault="00340794" w:rsidP="00340794">
            <w:pPr>
              <w:pStyle w:val="a1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Maggino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Filomena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2017.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Complexity in Society: From Indicators Construction to their Synthesis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Springer International Publishing AG. URL: </w:t>
            </w:r>
            <w:hyperlink r:id="rId10" w:history="1">
              <w:r w:rsidRPr="006741E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https://link.springer.com/book/10.1007/978-3-319-60595-1</w:t>
              </w:r>
            </w:hyperlink>
          </w:p>
          <w:p w:rsidR="00340794" w:rsidRPr="00A66587" w:rsidRDefault="00340794" w:rsidP="00340794">
            <w:pPr>
              <w:pStyle w:val="a1"/>
              <w:spacing w:after="0" w:line="240" w:lineRule="auto"/>
              <w:ind w:left="4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0794" w:rsidRPr="00340794" w:rsidRDefault="00340794" w:rsidP="003407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340794" w:rsidRPr="0064556A" w:rsidRDefault="00340794" w:rsidP="00340794">
            <w:pPr>
              <w:pStyle w:val="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9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Alho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Juha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M, and Bruce D. Spencer. 2005.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Statistical Demography and Forecasting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New York; Springer. </w:t>
            </w:r>
            <w:r w:rsidRPr="006455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C60575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https://link.springer.com/book/10.1007/0-387-28392-7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40794" w:rsidRPr="00A66587" w:rsidRDefault="00340794" w:rsidP="00340794">
            <w:pPr>
              <w:pStyle w:val="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Dobrin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2016. Cham; Springer.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Homicide Data Sources. An Interdisciplinary Overview for Researchers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66587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2" w:history="1">
              <w:r w:rsidRPr="00A66587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https://link.springer.com/book/10.1007/978-3-319-19881-1</w:t>
              </w:r>
            </w:hyperlink>
          </w:p>
          <w:p w:rsidR="00340794" w:rsidRPr="00A66587" w:rsidRDefault="00340794" w:rsidP="00340794">
            <w:pPr>
              <w:pStyle w:val="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How`s Life? Measuring Well-being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2017. OECD. URL: </w:t>
            </w:r>
            <w:hyperlink r:id="rId13" w:history="1">
              <w:r w:rsidRPr="00A66587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https://www.oecd-ilibrary.org/economics/how-s-life-2017_how_life-2017-en</w:t>
              </w:r>
            </w:hyperlink>
          </w:p>
          <w:p w:rsidR="00340794" w:rsidRPr="00A66587" w:rsidRDefault="00340794" w:rsidP="00340794">
            <w:pPr>
              <w:pStyle w:val="a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Jefferson, Philip N. 2012.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Oxford Handbook of the Economics of Poverty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University Press. URL </w:t>
            </w:r>
            <w:hyperlink r:id="rId14" w:history="1">
              <w:r w:rsidRPr="00C60575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http://www.oxfordhandbooks.com/view/10.1093/oxfordhb/9780195393781.001.0001/oxfordhb-9780195393781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40794" w:rsidRPr="00340794" w:rsidRDefault="00340794" w:rsidP="00340794">
            <w:pPr>
              <w:pStyle w:val="a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Nolan, Brian,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Wiemer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Salverda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Timothy M.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Smeeding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2011.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Oxford Handbook of Economic Inequality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University Press. URL: </w:t>
            </w:r>
            <w:hyperlink r:id="rId15" w:history="1">
              <w:r w:rsidRPr="00A66587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http://www.oxfordhandbooks.com/view/10.1093/oxfordhb/9780199606061.001.0001/oxfordhb-9780199606061</w:t>
              </w:r>
            </w:hyperlink>
            <w:r>
              <w:rPr>
                <w:lang w:val="en-US"/>
              </w:rPr>
              <w:t xml:space="preserve"> </w:t>
            </w:r>
          </w:p>
          <w:p w:rsidR="001336E4" w:rsidRPr="00A66587" w:rsidRDefault="00340794" w:rsidP="00340794">
            <w:pPr>
              <w:pStyle w:val="a1"/>
              <w:numPr>
                <w:ilvl w:val="0"/>
                <w:numId w:val="21"/>
              </w:numPr>
              <w:spacing w:after="0" w:line="240" w:lineRule="auto"/>
              <w:ind w:left="431" w:hanging="284"/>
              <w:jc w:val="both"/>
              <w:rPr>
                <w:rFonts w:eastAsia="Times New Roman"/>
                <w:lang w:val="en-US" w:eastAsia="ru-RU"/>
              </w:rPr>
            </w:pP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Winkler, </w:t>
            </w:r>
            <w:proofErr w:type="spellStart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>Othmar</w:t>
            </w:r>
            <w:proofErr w:type="spellEnd"/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2009. </w:t>
            </w:r>
            <w:r w:rsidRPr="00A665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Interpreting Economic and Social Data. A Foundation of Descriptive Statistics</w:t>
            </w:r>
            <w:r w:rsidRPr="00A66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Berlin; Heidelberg: Springer. URL: </w:t>
            </w:r>
            <w:hyperlink r:id="rId16" w:history="1">
              <w:r w:rsidRPr="00A66587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https://link.springer.com/content/pdf/10.1007%2F978-3-540-68721-4.pdf</w:t>
              </w:r>
            </w:hyperlink>
          </w:p>
        </w:tc>
      </w:tr>
      <w:tr w:rsidR="00AC6976" w:rsidRPr="00E22E05" w:rsidTr="008A6C08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976" w:rsidRPr="00DB4B62" w:rsidRDefault="00AC697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976" w:rsidRPr="00DB4B62" w:rsidRDefault="00AC697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Academic support for the course </w:t>
            </w:r>
            <w:r w:rsidRPr="00193BE0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is provided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via e-mail</w:t>
            </w:r>
            <w:r w:rsidR="008A6C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="0064556A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D</w:t>
            </w:r>
            <w:r w:rsidR="008A6C08" w:rsidRPr="0064556A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ropbox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64556A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and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745E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LMS</w:t>
            </w:r>
          </w:p>
        </w:tc>
      </w:tr>
      <w:tr w:rsidR="00AC6976" w:rsidRPr="00E22E05" w:rsidTr="008A6C08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976" w:rsidRPr="00DB4B62" w:rsidRDefault="00AC697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</w:t>
            </w:r>
            <w:r w:rsidR="0064556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64556A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and</w:t>
            </w: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Software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1CC8" w:rsidRPr="00DB4B62" w:rsidRDefault="00AC697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 computer class </w:t>
            </w:r>
            <w:r w:rsidR="00745E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with Internet access</w:t>
            </w:r>
          </w:p>
        </w:tc>
      </w:tr>
      <w:tr w:rsidR="00AC6976" w:rsidRPr="00382897" w:rsidTr="008A6C08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976" w:rsidRPr="00DB4B62" w:rsidRDefault="00AC6976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B4B6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976" w:rsidRPr="00DB4B62" w:rsidRDefault="00745EB0" w:rsidP="008A6C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Associate professor Anna Nemirovskaya</w:t>
            </w:r>
          </w:p>
        </w:tc>
      </w:tr>
    </w:tbl>
    <w:p w:rsidR="00D4693C" w:rsidRPr="00DB4B62" w:rsidRDefault="00D4693C" w:rsidP="00C52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4693C" w:rsidRPr="00DB4B62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3D25A" w16cid:durableId="1FF43758"/>
  <w16cid:commentId w16cid:paraId="5E3C7380" w16cid:durableId="1FF3908D"/>
  <w16cid:commentId w16cid:paraId="5027CB71" w16cid:durableId="1FF38F80"/>
  <w16cid:commentId w16cid:paraId="21B49501" w16cid:durableId="1FF390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61" w:rsidRDefault="00101161" w:rsidP="00F31F02">
      <w:pPr>
        <w:spacing w:after="0" w:line="240" w:lineRule="auto"/>
      </w:pPr>
      <w:r>
        <w:separator/>
      </w:r>
    </w:p>
  </w:endnote>
  <w:endnote w:type="continuationSeparator" w:id="0">
    <w:p w:rsidR="00101161" w:rsidRDefault="00101161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61" w:rsidRDefault="00101161" w:rsidP="00F31F02">
      <w:pPr>
        <w:spacing w:after="0" w:line="240" w:lineRule="auto"/>
      </w:pPr>
      <w:r>
        <w:separator/>
      </w:r>
    </w:p>
  </w:footnote>
  <w:footnote w:type="continuationSeparator" w:id="0">
    <w:p w:rsidR="00101161" w:rsidRDefault="00101161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16"/>
    <w:multiLevelType w:val="hybridMultilevel"/>
    <w:tmpl w:val="D29AF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195F"/>
    <w:multiLevelType w:val="hybridMultilevel"/>
    <w:tmpl w:val="FAD21036"/>
    <w:lvl w:ilvl="0" w:tplc="6922B0C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A54CD"/>
    <w:multiLevelType w:val="hybridMultilevel"/>
    <w:tmpl w:val="E21E206E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2485"/>
    <w:multiLevelType w:val="multilevel"/>
    <w:tmpl w:val="7B3872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035D20"/>
    <w:multiLevelType w:val="hybridMultilevel"/>
    <w:tmpl w:val="B8A89300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7018"/>
    <w:multiLevelType w:val="hybridMultilevel"/>
    <w:tmpl w:val="45A2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F76"/>
    <w:multiLevelType w:val="hybridMultilevel"/>
    <w:tmpl w:val="900A69E0"/>
    <w:lvl w:ilvl="0" w:tplc="6922B0C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4718"/>
    <w:multiLevelType w:val="hybridMultilevel"/>
    <w:tmpl w:val="2CAAFC1E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F7279"/>
    <w:multiLevelType w:val="multilevel"/>
    <w:tmpl w:val="B562E898"/>
    <w:lvl w:ilvl="0"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455589"/>
    <w:multiLevelType w:val="hybridMultilevel"/>
    <w:tmpl w:val="504AA06A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E337B"/>
    <w:multiLevelType w:val="hybridMultilevel"/>
    <w:tmpl w:val="EF5EADB0"/>
    <w:lvl w:ilvl="0" w:tplc="6922B0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7136109"/>
    <w:multiLevelType w:val="multilevel"/>
    <w:tmpl w:val="E2C8C8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527C"/>
    <w:multiLevelType w:val="multilevel"/>
    <w:tmpl w:val="342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974B6"/>
    <w:multiLevelType w:val="hybridMultilevel"/>
    <w:tmpl w:val="8EDE3F6C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0DCC"/>
    <w:multiLevelType w:val="multilevel"/>
    <w:tmpl w:val="001C9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1B2D"/>
    <w:multiLevelType w:val="hybridMultilevel"/>
    <w:tmpl w:val="8266F5DE"/>
    <w:lvl w:ilvl="0" w:tplc="6922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35E3"/>
    <w:multiLevelType w:val="hybridMultilevel"/>
    <w:tmpl w:val="E6C2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24EDB"/>
    <w:multiLevelType w:val="multilevel"/>
    <w:tmpl w:val="C428AA5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47B1DE4"/>
    <w:multiLevelType w:val="hybridMultilevel"/>
    <w:tmpl w:val="D568A8B0"/>
    <w:lvl w:ilvl="0" w:tplc="6922B0C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319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904" w:hanging="360"/>
      </w:pPr>
    </w:lvl>
    <w:lvl w:ilvl="2">
      <w:start w:val="1"/>
      <w:numFmt w:val="decimal"/>
      <w:isLgl/>
      <w:lvlText w:val="%1.%2.%3"/>
      <w:lvlJc w:val="left"/>
      <w:pPr>
        <w:ind w:left="4613" w:hanging="720"/>
      </w:pPr>
    </w:lvl>
    <w:lvl w:ilvl="3">
      <w:start w:val="1"/>
      <w:numFmt w:val="decimal"/>
      <w:isLgl/>
      <w:lvlText w:val="%1.%2.%3.%4"/>
      <w:lvlJc w:val="left"/>
      <w:pPr>
        <w:ind w:left="4962" w:hanging="720"/>
      </w:pPr>
    </w:lvl>
    <w:lvl w:ilvl="4">
      <w:start w:val="1"/>
      <w:numFmt w:val="decimal"/>
      <w:isLgl/>
      <w:lvlText w:val="%1.%2.%3.%4.%5"/>
      <w:lvlJc w:val="left"/>
      <w:pPr>
        <w:ind w:left="5671" w:hanging="1080"/>
      </w:pPr>
    </w:lvl>
    <w:lvl w:ilvl="5">
      <w:start w:val="1"/>
      <w:numFmt w:val="decimal"/>
      <w:isLgl/>
      <w:lvlText w:val="%1.%2.%3.%4.%5.%6"/>
      <w:lvlJc w:val="left"/>
      <w:pPr>
        <w:ind w:left="6020" w:hanging="1080"/>
      </w:pPr>
    </w:lvl>
    <w:lvl w:ilvl="6">
      <w:start w:val="1"/>
      <w:numFmt w:val="decimal"/>
      <w:isLgl/>
      <w:lvlText w:val="%1.%2.%3.%4.%5.%6.%7"/>
      <w:lvlJc w:val="left"/>
      <w:pPr>
        <w:ind w:left="6729" w:hanging="1440"/>
      </w:pPr>
    </w:lvl>
    <w:lvl w:ilvl="7">
      <w:start w:val="1"/>
      <w:numFmt w:val="decimal"/>
      <w:isLgl/>
      <w:lvlText w:val="%1.%2.%3.%4.%5.%6.%7.%8"/>
      <w:lvlJc w:val="left"/>
      <w:pPr>
        <w:ind w:left="7078" w:hanging="1440"/>
      </w:pPr>
    </w:lvl>
    <w:lvl w:ilvl="8">
      <w:start w:val="1"/>
      <w:numFmt w:val="decimal"/>
      <w:isLgl/>
      <w:lvlText w:val="%1.%2.%3.%4.%5.%6.%7.%8.%9"/>
      <w:lvlJc w:val="left"/>
      <w:pPr>
        <w:ind w:left="7787" w:hanging="1800"/>
      </w:pPr>
    </w:lvl>
  </w:abstractNum>
  <w:abstractNum w:abstractNumId="21">
    <w:nsid w:val="6F346C13"/>
    <w:multiLevelType w:val="multilevel"/>
    <w:tmpl w:val="C12AD99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82B63B8"/>
    <w:multiLevelType w:val="hybridMultilevel"/>
    <w:tmpl w:val="91E4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53F96"/>
    <w:multiLevelType w:val="hybridMultilevel"/>
    <w:tmpl w:val="4D401E2A"/>
    <w:lvl w:ilvl="0" w:tplc="51A0C2C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926E1"/>
    <w:multiLevelType w:val="hybridMultilevel"/>
    <w:tmpl w:val="8CF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26"/>
  </w:num>
  <w:num w:numId="14">
    <w:abstractNumId w:val="25"/>
  </w:num>
  <w:num w:numId="15">
    <w:abstractNumId w:val="25"/>
  </w:num>
  <w:num w:numId="16">
    <w:abstractNumId w:val="10"/>
  </w:num>
  <w:num w:numId="17">
    <w:abstractNumId w:val="8"/>
  </w:num>
  <w:num w:numId="18">
    <w:abstractNumId w:val="4"/>
  </w:num>
  <w:num w:numId="19">
    <w:abstractNumId w:val="13"/>
  </w:num>
  <w:num w:numId="20">
    <w:abstractNumId w:val="14"/>
  </w:num>
  <w:num w:numId="21">
    <w:abstractNumId w:val="2"/>
  </w:num>
  <w:num w:numId="22">
    <w:abstractNumId w:val="19"/>
  </w:num>
  <w:num w:numId="23">
    <w:abstractNumId w:val="1"/>
  </w:num>
  <w:num w:numId="24">
    <w:abstractNumId w:val="6"/>
  </w:num>
  <w:num w:numId="25">
    <w:abstractNumId w:val="16"/>
  </w:num>
  <w:num w:numId="26">
    <w:abstractNumId w:val="5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xN7M0M7AwNTQzM7ZU0lEKTi0uzszPAykwqwUAnMFC3ywAAAA="/>
  </w:docVars>
  <w:rsids>
    <w:rsidRoot w:val="00C42A27"/>
    <w:rsid w:val="0001067A"/>
    <w:rsid w:val="00016FD6"/>
    <w:rsid w:val="00020DCD"/>
    <w:rsid w:val="00041FC5"/>
    <w:rsid w:val="00060ED5"/>
    <w:rsid w:val="00080D29"/>
    <w:rsid w:val="000E5E32"/>
    <w:rsid w:val="00101161"/>
    <w:rsid w:val="001269F5"/>
    <w:rsid w:val="001336E4"/>
    <w:rsid w:val="001422AB"/>
    <w:rsid w:val="00167EFC"/>
    <w:rsid w:val="00193BE0"/>
    <w:rsid w:val="001B0CFD"/>
    <w:rsid w:val="001E7A84"/>
    <w:rsid w:val="00202571"/>
    <w:rsid w:val="00227878"/>
    <w:rsid w:val="00231A14"/>
    <w:rsid w:val="002376BB"/>
    <w:rsid w:val="00241742"/>
    <w:rsid w:val="00264235"/>
    <w:rsid w:val="002645A6"/>
    <w:rsid w:val="00265A7B"/>
    <w:rsid w:val="002800E1"/>
    <w:rsid w:val="002A4D17"/>
    <w:rsid w:val="002B1D47"/>
    <w:rsid w:val="002B5A10"/>
    <w:rsid w:val="002E63C7"/>
    <w:rsid w:val="002E667A"/>
    <w:rsid w:val="002F0BE1"/>
    <w:rsid w:val="00312901"/>
    <w:rsid w:val="0032487C"/>
    <w:rsid w:val="0033665B"/>
    <w:rsid w:val="00340794"/>
    <w:rsid w:val="00350F7A"/>
    <w:rsid w:val="00360ED6"/>
    <w:rsid w:val="00382897"/>
    <w:rsid w:val="00414FB6"/>
    <w:rsid w:val="004467C5"/>
    <w:rsid w:val="00454185"/>
    <w:rsid w:val="00455E4C"/>
    <w:rsid w:val="00475ED9"/>
    <w:rsid w:val="00492583"/>
    <w:rsid w:val="004B1D7A"/>
    <w:rsid w:val="004C6CB4"/>
    <w:rsid w:val="004E303F"/>
    <w:rsid w:val="004E76DD"/>
    <w:rsid w:val="004F6CD0"/>
    <w:rsid w:val="0052524D"/>
    <w:rsid w:val="005370A6"/>
    <w:rsid w:val="00554AD8"/>
    <w:rsid w:val="0057785A"/>
    <w:rsid w:val="00581152"/>
    <w:rsid w:val="005B2D72"/>
    <w:rsid w:val="005C24C2"/>
    <w:rsid w:val="005F36B1"/>
    <w:rsid w:val="00600E5C"/>
    <w:rsid w:val="006065A3"/>
    <w:rsid w:val="00613DCA"/>
    <w:rsid w:val="00626E9D"/>
    <w:rsid w:val="00644510"/>
    <w:rsid w:val="0064556A"/>
    <w:rsid w:val="00647A42"/>
    <w:rsid w:val="006541B9"/>
    <w:rsid w:val="0065437A"/>
    <w:rsid w:val="006568BE"/>
    <w:rsid w:val="006635D6"/>
    <w:rsid w:val="006646CE"/>
    <w:rsid w:val="00681DF1"/>
    <w:rsid w:val="006A0D74"/>
    <w:rsid w:val="006C03F2"/>
    <w:rsid w:val="006D2D3A"/>
    <w:rsid w:val="00742294"/>
    <w:rsid w:val="00745919"/>
    <w:rsid w:val="00745EB0"/>
    <w:rsid w:val="00761BA5"/>
    <w:rsid w:val="00767906"/>
    <w:rsid w:val="007A2171"/>
    <w:rsid w:val="007C30C4"/>
    <w:rsid w:val="007E1BF3"/>
    <w:rsid w:val="00827F62"/>
    <w:rsid w:val="00832D8C"/>
    <w:rsid w:val="00846EED"/>
    <w:rsid w:val="00861548"/>
    <w:rsid w:val="008A2012"/>
    <w:rsid w:val="008A6C08"/>
    <w:rsid w:val="008E28E3"/>
    <w:rsid w:val="008F4F18"/>
    <w:rsid w:val="008F791C"/>
    <w:rsid w:val="00911000"/>
    <w:rsid w:val="00925F7A"/>
    <w:rsid w:val="0094667F"/>
    <w:rsid w:val="0097638D"/>
    <w:rsid w:val="009A0900"/>
    <w:rsid w:val="009A25B7"/>
    <w:rsid w:val="009B0FE1"/>
    <w:rsid w:val="009B4E56"/>
    <w:rsid w:val="009C0C92"/>
    <w:rsid w:val="009D0521"/>
    <w:rsid w:val="00A037AD"/>
    <w:rsid w:val="00A15D9E"/>
    <w:rsid w:val="00A23309"/>
    <w:rsid w:val="00A262A5"/>
    <w:rsid w:val="00A30C63"/>
    <w:rsid w:val="00A66587"/>
    <w:rsid w:val="00AC44B9"/>
    <w:rsid w:val="00AC6976"/>
    <w:rsid w:val="00AF3C19"/>
    <w:rsid w:val="00B03CE5"/>
    <w:rsid w:val="00B11390"/>
    <w:rsid w:val="00B429BD"/>
    <w:rsid w:val="00B5254A"/>
    <w:rsid w:val="00B56B7C"/>
    <w:rsid w:val="00BA1BB7"/>
    <w:rsid w:val="00BB27E0"/>
    <w:rsid w:val="00BD2BF1"/>
    <w:rsid w:val="00C41142"/>
    <w:rsid w:val="00C42A27"/>
    <w:rsid w:val="00C52D56"/>
    <w:rsid w:val="00C6666C"/>
    <w:rsid w:val="00C91517"/>
    <w:rsid w:val="00C97582"/>
    <w:rsid w:val="00D07066"/>
    <w:rsid w:val="00D30D9F"/>
    <w:rsid w:val="00D373B2"/>
    <w:rsid w:val="00D42DFF"/>
    <w:rsid w:val="00D4693C"/>
    <w:rsid w:val="00D60334"/>
    <w:rsid w:val="00D60EEA"/>
    <w:rsid w:val="00D640A5"/>
    <w:rsid w:val="00D6655A"/>
    <w:rsid w:val="00D773AD"/>
    <w:rsid w:val="00D85442"/>
    <w:rsid w:val="00D8555A"/>
    <w:rsid w:val="00D93302"/>
    <w:rsid w:val="00D95D7E"/>
    <w:rsid w:val="00D96E9A"/>
    <w:rsid w:val="00DA137C"/>
    <w:rsid w:val="00DB4B62"/>
    <w:rsid w:val="00DB57AC"/>
    <w:rsid w:val="00DD0A89"/>
    <w:rsid w:val="00E01D38"/>
    <w:rsid w:val="00E16FBC"/>
    <w:rsid w:val="00E22E05"/>
    <w:rsid w:val="00E2368D"/>
    <w:rsid w:val="00E41CAB"/>
    <w:rsid w:val="00E9042D"/>
    <w:rsid w:val="00EA7703"/>
    <w:rsid w:val="00EC26C1"/>
    <w:rsid w:val="00EF1CC8"/>
    <w:rsid w:val="00EF751E"/>
    <w:rsid w:val="00F064BA"/>
    <w:rsid w:val="00F15308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3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F31F02"/>
    <w:rPr>
      <w:vertAlign w:val="superscript"/>
    </w:rPr>
  </w:style>
  <w:style w:type="table" w:styleId="a8">
    <w:name w:val="Table Grid"/>
    <w:basedOn w:val="a3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nhideWhenUsed/>
    <w:rsid w:val="00BA1B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a">
    <w:name w:val="Нижний колонтитул Знак"/>
    <w:basedOn w:val="a2"/>
    <w:link w:val="a9"/>
    <w:rsid w:val="00BA1BB7"/>
    <w:rPr>
      <w:rFonts w:ascii="Calibri" w:eastAsia="Calibri" w:hAnsi="Calibri" w:cs="Times New Roman"/>
      <w:lang w:val="en-GB"/>
    </w:rPr>
  </w:style>
  <w:style w:type="paragraph" w:styleId="ab">
    <w:name w:val="Body Text Indent"/>
    <w:basedOn w:val="a0"/>
    <w:link w:val="ac"/>
    <w:rsid w:val="008F4F18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2"/>
    <w:link w:val="ab"/>
    <w:rsid w:val="008F4F18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ad">
    <w:name w:val="annotation reference"/>
    <w:basedOn w:val="a2"/>
    <w:uiPriority w:val="99"/>
    <w:semiHidden/>
    <w:unhideWhenUsed/>
    <w:rsid w:val="00455E4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455E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455E4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5E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5E4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45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55E4C"/>
    <w:rPr>
      <w:rFonts w:ascii="Tahoma" w:eastAsia="Calibri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455E4C"/>
    <w:rPr>
      <w:color w:val="0000FF" w:themeColor="hyperlink"/>
      <w:u w:val="single"/>
    </w:rPr>
  </w:style>
  <w:style w:type="paragraph" w:customStyle="1" w:styleId="Default">
    <w:name w:val="Default"/>
    <w:rsid w:val="0053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0"/>
    <w:rsid w:val="00DB4B62"/>
    <w:pPr>
      <w:spacing w:before="100" w:after="119" w:line="100" w:lineRule="atLeast"/>
    </w:pPr>
    <w:rPr>
      <w:rFonts w:ascii="Times New Roman" w:eastAsia="Times New Roman" w:hAnsi="Times New Roman"/>
      <w:sz w:val="24"/>
      <w:szCs w:val="24"/>
      <w:lang w:val="de-DE" w:eastAsia="ar-SA"/>
    </w:rPr>
  </w:style>
  <w:style w:type="paragraph" w:customStyle="1" w:styleId="a">
    <w:name w:val="Маркированный."/>
    <w:basedOn w:val="a0"/>
    <w:rsid w:val="00167EFC"/>
    <w:pPr>
      <w:numPr>
        <w:numId w:val="14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2"/>
    <w:link w:val="2"/>
    <w:uiPriority w:val="9"/>
    <w:rsid w:val="0083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sname">
    <w:name w:val="authors__name"/>
    <w:basedOn w:val="a2"/>
    <w:rsid w:val="0064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ecd-ilibrary.org/economics/how-s-life-2017_how_life-2017-en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book/10.1007/978-3-319-19881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content/pdf/10.1007%2F978-3-540-68721-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book/10.1007/0-387-28392-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xfordhandbooks.com/view/10.1093/oxfordhb/9780199606061.001.0001/oxfordhb-9780199606061" TargetMode="External"/><Relationship Id="rId10" Type="http://schemas.openxmlformats.org/officeDocument/2006/relationships/hyperlink" Target="https://link.springer.com/book/10.1007/978-3-319-60595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xfordscholarship.com/view/10.1093/oso/9780198803720.001.0001/oso-9780198803720?rskey=8w4xUZ&amp;result=6" TargetMode="External"/><Relationship Id="rId14" Type="http://schemas.openxmlformats.org/officeDocument/2006/relationships/hyperlink" Target="http://www.oxfordhandbooks.com/view/10.1093/oxfordhb/9780195393781.001.0001/oxfordhb-9780195393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BBBB-908D-495E-958F-9338FCF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8</cp:revision>
  <cp:lastPrinted>2019-02-04T11:58:00Z</cp:lastPrinted>
  <dcterms:created xsi:type="dcterms:W3CDTF">2019-02-02T21:37:00Z</dcterms:created>
  <dcterms:modified xsi:type="dcterms:W3CDTF">2019-02-27T14:17:00Z</dcterms:modified>
</cp:coreProperties>
</file>