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>Course descriptor</w:t>
      </w: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68"/>
        <w:gridCol w:w="2410"/>
        <w:gridCol w:w="2552"/>
      </w:tblGrid>
      <w:tr w:rsidR="00C42A27" w:rsidRPr="00EF1D28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EF1D28" w:rsidRDefault="00C42A27" w:rsidP="00EF1D28">
            <w:pPr>
              <w:pStyle w:val="ac"/>
              <w:rPr>
                <w:lang w:val="en-US"/>
              </w:rPr>
            </w:pPr>
            <w:r w:rsidRPr="00EF1D28">
              <w:rPr>
                <w:lang w:val="en-US"/>
              </w:rPr>
              <w:t>Title of the course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EF1D28" w:rsidRDefault="00EF1D28" w:rsidP="00EF1D28">
            <w:pPr>
              <w:pStyle w:val="ac"/>
              <w:rPr>
                <w:lang w:val="en-US"/>
              </w:rPr>
            </w:pPr>
            <w:r w:rsidRPr="00EF1D28">
              <w:rPr>
                <w:lang w:val="en-US"/>
              </w:rPr>
              <w:t>Management</w:t>
            </w:r>
          </w:p>
        </w:tc>
      </w:tr>
      <w:tr w:rsidR="00C42A27" w:rsidRPr="00EF1D28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EF1D28" w:rsidRDefault="00C42A27" w:rsidP="00EF1D28">
            <w:pPr>
              <w:pStyle w:val="ac"/>
              <w:rPr>
                <w:lang w:val="en-US"/>
              </w:rPr>
            </w:pPr>
            <w:r w:rsidRPr="00EF1D28">
              <w:rPr>
                <w:lang w:val="en-US"/>
              </w:rPr>
              <w:t xml:space="preserve">Title of the Academic Programme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Pr="00EF1D28" w:rsidRDefault="00EF1D28" w:rsidP="00EF1D28">
            <w:pPr>
              <w:pStyle w:val="ac"/>
              <w:rPr>
                <w:lang w:val="en-US"/>
              </w:rPr>
            </w:pPr>
            <w:r w:rsidRPr="0013412C">
              <w:rPr>
                <w:lang w:val="en-US"/>
              </w:rPr>
              <w:t>Management</w:t>
            </w:r>
          </w:p>
        </w:tc>
      </w:tr>
      <w:tr w:rsidR="00C42A27" w:rsidRPr="00EF1D28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EF1D28" w:rsidRDefault="00C42A27" w:rsidP="00EF1D28">
            <w:pPr>
              <w:pStyle w:val="ac"/>
              <w:rPr>
                <w:lang w:val="en-US"/>
              </w:rPr>
            </w:pPr>
            <w:r w:rsidRPr="00EF1D28">
              <w:rPr>
                <w:lang w:val="en-US"/>
              </w:rPr>
              <w:t>Type of the course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Pr="00EF1D28" w:rsidRDefault="00EF1D28" w:rsidP="00EF1D28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core</w:t>
            </w:r>
          </w:p>
        </w:tc>
      </w:tr>
      <w:tr w:rsidR="00C42A27" w:rsidRPr="00D37CDF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EF1D28" w:rsidRDefault="00C42A27" w:rsidP="00EF1D28">
            <w:pPr>
              <w:pStyle w:val="ac"/>
              <w:rPr>
                <w:lang w:val="en-US"/>
              </w:rPr>
            </w:pPr>
            <w:r w:rsidRPr="00EF1D28">
              <w:rPr>
                <w:lang w:val="en-US"/>
              </w:rPr>
              <w:t>Prerequisites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EF1D28" w:rsidRDefault="00EF1D28" w:rsidP="00EF1D28">
            <w:pPr>
              <w:pStyle w:val="ac"/>
              <w:rPr>
                <w:lang w:val="en-US"/>
              </w:rPr>
            </w:pPr>
            <w:r w:rsidRPr="0013412C">
              <w:rPr>
                <w:lang w:val="en-US"/>
              </w:rPr>
              <w:t>To be able to enroll into the course, the student has to complete all course work required by the program (i.e., College Health and Safety).</w:t>
            </w:r>
          </w:p>
        </w:tc>
      </w:tr>
      <w:tr w:rsidR="00C42A27" w:rsidRPr="00EF1D28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EF1D28" w:rsidRDefault="00C42A27" w:rsidP="00EF1D28">
            <w:pPr>
              <w:pStyle w:val="ac"/>
              <w:rPr>
                <w:lang w:val="en-US"/>
              </w:rPr>
            </w:pPr>
            <w:r w:rsidRPr="00EF1D28">
              <w:rPr>
                <w:lang w:val="en-US"/>
              </w:rPr>
              <w:t>ECTS</w:t>
            </w:r>
            <w:r w:rsidR="00D85442" w:rsidRPr="00EF1D28">
              <w:rPr>
                <w:lang w:val="en-US"/>
              </w:rPr>
              <w:t xml:space="preserve"> workload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EF1D28" w:rsidRDefault="00D37CDF" w:rsidP="00EF1D28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4</w:t>
            </w:r>
            <w:bookmarkStart w:id="0" w:name="_GoBack"/>
            <w:bookmarkEnd w:id="0"/>
          </w:p>
        </w:tc>
      </w:tr>
      <w:tr w:rsidR="00C42A27" w:rsidRPr="00EF1D28" w:rsidTr="00644510">
        <w:trPr>
          <w:trHeight w:val="21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EF1D28" w:rsidRDefault="00C42A27" w:rsidP="00EF1D28">
            <w:pPr>
              <w:pStyle w:val="ac"/>
              <w:rPr>
                <w:lang w:val="en-US"/>
              </w:rPr>
            </w:pPr>
            <w:r w:rsidRPr="00EF1D28">
              <w:rPr>
                <w:lang w:val="en-US"/>
              </w:rPr>
              <w:t>Total indicative study hours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EF1D28" w:rsidRDefault="00C42A27" w:rsidP="00EF1D28">
            <w:pPr>
              <w:pStyle w:val="ac"/>
              <w:rPr>
                <w:lang w:val="en-US"/>
              </w:rPr>
            </w:pPr>
            <w:r w:rsidRPr="00EF1D28">
              <w:rPr>
                <w:lang w:val="en-US"/>
              </w:rPr>
              <w:t>Directed Study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Pr="00EF1D28" w:rsidRDefault="00C42A27" w:rsidP="00EF1D28">
            <w:pPr>
              <w:pStyle w:val="ac"/>
              <w:rPr>
                <w:lang w:val="en-US"/>
              </w:rPr>
            </w:pPr>
            <w:r w:rsidRPr="00EF1D28">
              <w:rPr>
                <w:lang w:val="en-US"/>
              </w:rPr>
              <w:t xml:space="preserve">Self-directed study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Pr="00EF1D28" w:rsidRDefault="00C42A27" w:rsidP="00EF1D28">
            <w:pPr>
              <w:pStyle w:val="ac"/>
              <w:rPr>
                <w:lang w:val="en-US"/>
              </w:rPr>
            </w:pPr>
            <w:r w:rsidRPr="00EF1D28">
              <w:rPr>
                <w:lang w:val="en-US"/>
              </w:rPr>
              <w:t>Total</w:t>
            </w:r>
          </w:p>
        </w:tc>
      </w:tr>
      <w:tr w:rsidR="00C42A27" w:rsidRPr="00EF1D28" w:rsidTr="00644510">
        <w:trPr>
          <w:trHeight w:val="21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27" w:rsidRPr="00EF1D28" w:rsidRDefault="00C42A27" w:rsidP="00EF1D28">
            <w:pPr>
              <w:pStyle w:val="ac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EF1D28" w:rsidRDefault="00D37CDF" w:rsidP="00EF1D28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Pr="00EF1D28" w:rsidRDefault="00D37CDF" w:rsidP="00EF1D28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Pr="00EF1D28" w:rsidRDefault="00D37CDF" w:rsidP="00EF1D28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152</w:t>
            </w:r>
          </w:p>
        </w:tc>
      </w:tr>
      <w:tr w:rsidR="00C42A27" w:rsidRPr="00D37CDF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EF1D28" w:rsidRDefault="00C42A27" w:rsidP="00EF1D28">
            <w:pPr>
              <w:pStyle w:val="ac"/>
              <w:rPr>
                <w:lang w:val="en-US"/>
              </w:rPr>
            </w:pPr>
            <w:r w:rsidRPr="00EF1D28">
              <w:rPr>
                <w:lang w:val="en-US"/>
              </w:rPr>
              <w:t>Course Overview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EF1D28" w:rsidRDefault="00EF1D28" w:rsidP="00EF1D28">
            <w:pPr>
              <w:pStyle w:val="ac"/>
              <w:rPr>
                <w:lang w:val="en-US"/>
              </w:rPr>
            </w:pPr>
            <w:r w:rsidRPr="0013412C">
              <w:rPr>
                <w:lang w:val="en-US"/>
              </w:rPr>
              <w:t xml:space="preserve">This course is designed to provide students a broad overview of the subject of management. </w:t>
            </w:r>
            <w:r w:rsidRPr="003C74D6">
              <w:rPr>
                <w:lang w:val="en-US"/>
              </w:rPr>
              <w:t>The goal of this course is to expose the students to</w:t>
            </w:r>
            <w:r w:rsidRPr="0013412C">
              <w:rPr>
                <w:lang w:val="en-US"/>
              </w:rPr>
              <w:t xml:space="preserve"> the theories and principles that are important for successfully managing organizations and people. Topics include management theory; the changing business environment; elements of strategic planning; methods of human resource management, including recruitment, selection, training and development; techniques for leading individuals and teams; decision-making; conflict management; communication, and procedures for controlling resources to improve productivity and results. </w:t>
            </w:r>
            <w:r w:rsidRPr="003C74D6">
              <w:rPr>
                <w:lang w:val="en-US"/>
              </w:rPr>
              <w:t xml:space="preserve">Students will also examine </w:t>
            </w:r>
            <w:r w:rsidRPr="0013412C">
              <w:rPr>
                <w:lang w:val="en-US"/>
              </w:rPr>
              <w:t xml:space="preserve">the behavioral, political, and organizational dynamics of managerial practice and </w:t>
            </w:r>
            <w:r w:rsidRPr="003C74D6">
              <w:rPr>
                <w:lang w:val="en-US"/>
              </w:rPr>
              <w:t xml:space="preserve">the challenging roles of managers </w:t>
            </w:r>
            <w:r w:rsidRPr="0013412C">
              <w:rPr>
                <w:lang w:val="en-US"/>
              </w:rPr>
              <w:t xml:space="preserve">at different levels (i.e., first-time managers, line managers, mid-level managers, top managers/executives) </w:t>
            </w:r>
            <w:r w:rsidRPr="003C74D6">
              <w:rPr>
                <w:lang w:val="en-US"/>
              </w:rPr>
              <w:t xml:space="preserve">in enhancing employee, group, and organizational performance. </w:t>
            </w:r>
            <w:r w:rsidRPr="0013412C">
              <w:rPr>
                <w:lang w:val="en-US"/>
              </w:rPr>
              <w:t>T</w:t>
            </w:r>
            <w:r w:rsidRPr="003C74D6">
              <w:rPr>
                <w:lang w:val="en-US"/>
              </w:rPr>
              <w:t>he course combines lectures and interactive seminars to promote student critical thinking and problem-solving skills. The course assignments are based on current literature in management and on-line resources and include individual and group work</w:t>
            </w:r>
            <w:r w:rsidRPr="00EF1D28">
              <w:rPr>
                <w:lang w:val="en-US"/>
              </w:rPr>
              <w:t>.</w:t>
            </w:r>
          </w:p>
        </w:tc>
      </w:tr>
      <w:tr w:rsidR="00C42A27" w:rsidRPr="00D37CDF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EF1D28" w:rsidRDefault="00C42A27" w:rsidP="00EF1D28">
            <w:pPr>
              <w:pStyle w:val="ac"/>
              <w:rPr>
                <w:lang w:val="en-US"/>
              </w:rPr>
            </w:pPr>
            <w:r w:rsidRPr="00EF1D28">
              <w:rPr>
                <w:lang w:val="en-US"/>
              </w:rPr>
              <w:t>Intended Learning Outcomes</w:t>
            </w:r>
            <w:r w:rsidR="00D4693C" w:rsidRPr="00EF1D28">
              <w:rPr>
                <w:lang w:val="en-US"/>
              </w:rPr>
              <w:t xml:space="preserve"> (ILO)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1D28" w:rsidRPr="00EF1D28" w:rsidRDefault="00EF1D28" w:rsidP="00EF1D28">
            <w:pPr>
              <w:pStyle w:val="ac"/>
              <w:rPr>
                <w:lang w:val="en-US"/>
              </w:rPr>
            </w:pPr>
            <w:r w:rsidRPr="0013412C">
              <w:rPr>
                <w:lang w:val="en-US"/>
              </w:rPr>
              <w:t xml:space="preserve">Upon the course completion, the student is expected to </w:t>
            </w:r>
          </w:p>
          <w:p w:rsidR="00EF1D28" w:rsidRPr="00EF1D28" w:rsidRDefault="00EF1D28" w:rsidP="00EF1D28">
            <w:pPr>
              <w:pStyle w:val="ac"/>
              <w:rPr>
                <w:lang w:val="en-US"/>
              </w:rPr>
            </w:pPr>
            <w:r w:rsidRPr="00EF1D28">
              <w:rPr>
                <w:lang w:val="en-US"/>
              </w:rPr>
              <w:t>Know</w:t>
            </w:r>
          </w:p>
          <w:p w:rsidR="00EF1D28" w:rsidRPr="00EF1D28" w:rsidRDefault="00EF1D28" w:rsidP="00EF1D28">
            <w:pPr>
              <w:pStyle w:val="ac"/>
              <w:numPr>
                <w:ilvl w:val="0"/>
                <w:numId w:val="5"/>
              </w:numPr>
              <w:rPr>
                <w:lang w:val="en-US"/>
              </w:rPr>
            </w:pPr>
            <w:r w:rsidRPr="00EF1D28">
              <w:rPr>
                <w:lang w:val="en-US"/>
              </w:rPr>
              <w:t>main periods in the development of management as an academic discipline and as a field of practice;</w:t>
            </w:r>
          </w:p>
          <w:p w:rsidR="00EF1D28" w:rsidRPr="00EF1D28" w:rsidRDefault="00EF1D28" w:rsidP="00EF1D28">
            <w:pPr>
              <w:pStyle w:val="ac"/>
              <w:numPr>
                <w:ilvl w:val="0"/>
                <w:numId w:val="5"/>
              </w:numPr>
              <w:rPr>
                <w:lang w:val="en-US"/>
              </w:rPr>
            </w:pPr>
            <w:r w:rsidRPr="00EF1D28">
              <w:rPr>
                <w:lang w:val="en-US"/>
              </w:rPr>
              <w:t>roles and functions of the manager in today’s organizations;</w:t>
            </w:r>
          </w:p>
          <w:p w:rsidR="00EF1D28" w:rsidRPr="00EF1D28" w:rsidRDefault="00EF1D28" w:rsidP="00EF1D28">
            <w:pPr>
              <w:pStyle w:val="ac"/>
              <w:numPr>
                <w:ilvl w:val="0"/>
                <w:numId w:val="5"/>
              </w:numPr>
              <w:rPr>
                <w:lang w:val="en-US"/>
              </w:rPr>
            </w:pPr>
            <w:r w:rsidRPr="00EF1D28">
              <w:rPr>
                <w:lang w:val="en-US"/>
              </w:rPr>
              <w:t>main business processes in organizations;</w:t>
            </w:r>
          </w:p>
          <w:p w:rsidR="00EF1D28" w:rsidRPr="00EF1D28" w:rsidRDefault="00EF1D28" w:rsidP="00EF1D28">
            <w:pPr>
              <w:pStyle w:val="ac"/>
              <w:numPr>
                <w:ilvl w:val="0"/>
                <w:numId w:val="5"/>
              </w:numPr>
              <w:rPr>
                <w:lang w:val="en-US"/>
              </w:rPr>
            </w:pPr>
            <w:r w:rsidRPr="00EF1D28">
              <w:rPr>
                <w:lang w:val="en-US"/>
              </w:rPr>
              <w:t>ethical challenges in contemporary business environments;</w:t>
            </w:r>
          </w:p>
          <w:p w:rsidR="00EF1D28" w:rsidRPr="00EF1D28" w:rsidRDefault="00EF1D28" w:rsidP="00EF1D28">
            <w:pPr>
              <w:pStyle w:val="ac"/>
              <w:numPr>
                <w:ilvl w:val="0"/>
                <w:numId w:val="5"/>
              </w:numPr>
              <w:rPr>
                <w:lang w:val="en-US"/>
              </w:rPr>
            </w:pPr>
            <w:r w:rsidRPr="00EF1D28">
              <w:rPr>
                <w:lang w:val="en-US"/>
              </w:rPr>
              <w:t>the influence of diverse contexts on organizational practices;</w:t>
            </w:r>
          </w:p>
          <w:p w:rsidR="00EF1D28" w:rsidRPr="00EF1D28" w:rsidRDefault="00EF1D28" w:rsidP="00EF1D28">
            <w:pPr>
              <w:pStyle w:val="ac"/>
              <w:numPr>
                <w:ilvl w:val="0"/>
                <w:numId w:val="5"/>
              </w:numPr>
              <w:rPr>
                <w:lang w:val="en-US"/>
              </w:rPr>
            </w:pPr>
            <w:r w:rsidRPr="00EF1D28">
              <w:rPr>
                <w:lang w:val="en-US"/>
              </w:rPr>
              <w:t xml:space="preserve">approaches to strategic planning and goal—setting;  </w:t>
            </w:r>
          </w:p>
          <w:p w:rsidR="00EF1D28" w:rsidRPr="00EF1D28" w:rsidRDefault="00EF1D28" w:rsidP="00EF1D28">
            <w:pPr>
              <w:pStyle w:val="ac"/>
              <w:numPr>
                <w:ilvl w:val="0"/>
                <w:numId w:val="5"/>
              </w:numPr>
              <w:rPr>
                <w:lang w:val="en-US"/>
              </w:rPr>
            </w:pPr>
            <w:r w:rsidRPr="00EF1D28">
              <w:rPr>
                <w:lang w:val="en-US"/>
              </w:rPr>
              <w:t xml:space="preserve">types of organizations structure;   </w:t>
            </w:r>
          </w:p>
          <w:p w:rsidR="00EF1D28" w:rsidRPr="00EF1D28" w:rsidRDefault="00EF1D28" w:rsidP="00EF1D28">
            <w:pPr>
              <w:pStyle w:val="ac"/>
              <w:rPr>
                <w:lang w:val="en-US"/>
              </w:rPr>
            </w:pPr>
          </w:p>
          <w:p w:rsidR="00EF1D28" w:rsidRPr="00EF1D28" w:rsidRDefault="00EF1D28" w:rsidP="00EF1D28">
            <w:pPr>
              <w:pStyle w:val="ac"/>
              <w:rPr>
                <w:lang w:val="en-US"/>
              </w:rPr>
            </w:pPr>
            <w:r w:rsidRPr="00EF1D28">
              <w:rPr>
                <w:lang w:val="en-US"/>
              </w:rPr>
              <w:t>Be able to</w:t>
            </w:r>
          </w:p>
          <w:p w:rsidR="00EF1D28" w:rsidRPr="00EF1D28" w:rsidRDefault="00EF1D28" w:rsidP="00EF1D28">
            <w:pPr>
              <w:pStyle w:val="ac"/>
              <w:rPr>
                <w:lang w:val="en-US"/>
              </w:rPr>
            </w:pPr>
          </w:p>
          <w:p w:rsidR="00EF1D28" w:rsidRPr="00EF1D28" w:rsidRDefault="00EF1D28" w:rsidP="00EF1D28">
            <w:pPr>
              <w:pStyle w:val="ac"/>
              <w:numPr>
                <w:ilvl w:val="0"/>
                <w:numId w:val="6"/>
              </w:numPr>
              <w:rPr>
                <w:lang w:val="en-US"/>
              </w:rPr>
            </w:pPr>
            <w:r w:rsidRPr="00EF1D28">
              <w:rPr>
                <w:lang w:val="en-US"/>
              </w:rPr>
              <w:t>set goals and objectives; develop and manage processes for getting work done effectively;</w:t>
            </w:r>
          </w:p>
          <w:p w:rsidR="00EF1D28" w:rsidRPr="00EF1D28" w:rsidRDefault="00EF1D28" w:rsidP="00EF1D28">
            <w:pPr>
              <w:pStyle w:val="ac"/>
              <w:numPr>
                <w:ilvl w:val="0"/>
                <w:numId w:val="6"/>
              </w:numPr>
              <w:rPr>
                <w:lang w:val="en-US"/>
              </w:rPr>
            </w:pPr>
            <w:r w:rsidRPr="00EF1D28">
              <w:rPr>
                <w:lang w:val="en-US"/>
              </w:rPr>
              <w:t xml:space="preserve">analyze internal and external organizational environment; identify its key elements and influence on the functioning of the organization; </w:t>
            </w:r>
          </w:p>
          <w:p w:rsidR="00EF1D28" w:rsidRPr="00EF1D28" w:rsidRDefault="00EF1D28" w:rsidP="00EF1D28">
            <w:pPr>
              <w:pStyle w:val="ac"/>
              <w:numPr>
                <w:ilvl w:val="0"/>
                <w:numId w:val="6"/>
              </w:numPr>
              <w:rPr>
                <w:lang w:val="en-US"/>
              </w:rPr>
            </w:pPr>
            <w:r w:rsidRPr="00EF1D28">
              <w:rPr>
                <w:lang w:val="en-US"/>
              </w:rPr>
              <w:t>identify practices for effective team-building and team management;</w:t>
            </w:r>
          </w:p>
          <w:p w:rsidR="00C42A27" w:rsidRPr="00EF1D28" w:rsidRDefault="00EF1D28" w:rsidP="00EF1D28">
            <w:pPr>
              <w:pStyle w:val="ac"/>
              <w:numPr>
                <w:ilvl w:val="0"/>
                <w:numId w:val="6"/>
              </w:numPr>
              <w:rPr>
                <w:lang w:val="en-US"/>
              </w:rPr>
            </w:pPr>
            <w:r w:rsidRPr="00EF1D28">
              <w:rPr>
                <w:lang w:val="en-US"/>
              </w:rPr>
              <w:t>create a work environment that motivates and engages employees to work productively;</w:t>
            </w:r>
          </w:p>
        </w:tc>
      </w:tr>
      <w:tr w:rsidR="00613DCA" w:rsidRPr="00D37CDF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3DCA" w:rsidRPr="00EF1D28" w:rsidRDefault="00613DCA" w:rsidP="00EF1D28">
            <w:pPr>
              <w:pStyle w:val="ac"/>
              <w:rPr>
                <w:lang w:val="en-US"/>
              </w:rPr>
            </w:pPr>
            <w:r w:rsidRPr="00EF1D28">
              <w:rPr>
                <w:lang w:val="en-US"/>
              </w:rPr>
              <w:t>Indicative Course Content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1D28" w:rsidRPr="0013412C" w:rsidRDefault="00EF1D28" w:rsidP="00EF1D28">
            <w:pPr>
              <w:pStyle w:val="ac"/>
              <w:numPr>
                <w:ilvl w:val="0"/>
                <w:numId w:val="7"/>
              </w:numPr>
              <w:rPr>
                <w:lang w:val="en-US"/>
              </w:rPr>
            </w:pPr>
            <w:r w:rsidRPr="0013412C">
              <w:rPr>
                <w:lang w:val="en-US"/>
              </w:rPr>
              <w:t>Introduction: Nature and functions of management</w:t>
            </w:r>
          </w:p>
          <w:p w:rsidR="00EF1D28" w:rsidRPr="00EF1D28" w:rsidRDefault="00EF1D28" w:rsidP="00EF1D28">
            <w:pPr>
              <w:pStyle w:val="ac"/>
              <w:numPr>
                <w:ilvl w:val="0"/>
                <w:numId w:val="7"/>
              </w:numPr>
              <w:rPr>
                <w:lang w:val="en-US"/>
              </w:rPr>
            </w:pPr>
            <w:r w:rsidRPr="00EF1D28">
              <w:rPr>
                <w:lang w:val="en-US"/>
              </w:rPr>
              <w:t>Development of management thought</w:t>
            </w:r>
          </w:p>
          <w:p w:rsidR="00EF1D28" w:rsidRPr="00EF1D28" w:rsidRDefault="00EF1D28" w:rsidP="00EF1D28">
            <w:pPr>
              <w:pStyle w:val="ac"/>
              <w:numPr>
                <w:ilvl w:val="0"/>
                <w:numId w:val="7"/>
              </w:numPr>
              <w:rPr>
                <w:lang w:val="en-US"/>
              </w:rPr>
            </w:pPr>
            <w:r w:rsidRPr="00EF1D28">
              <w:rPr>
                <w:lang w:val="en-US"/>
              </w:rPr>
              <w:lastRenderedPageBreak/>
              <w:t>Organizational environment</w:t>
            </w:r>
          </w:p>
          <w:p w:rsidR="00EF1D28" w:rsidRPr="00EF1D28" w:rsidRDefault="00EF1D28" w:rsidP="00EF1D28">
            <w:pPr>
              <w:pStyle w:val="ac"/>
              <w:numPr>
                <w:ilvl w:val="0"/>
                <w:numId w:val="7"/>
              </w:numPr>
              <w:rPr>
                <w:lang w:val="en-US"/>
              </w:rPr>
            </w:pPr>
            <w:r w:rsidRPr="00EF1D28">
              <w:rPr>
                <w:lang w:val="en-US"/>
              </w:rPr>
              <w:t>Strategic management</w:t>
            </w:r>
          </w:p>
          <w:p w:rsidR="00EF1D28" w:rsidRPr="00EF1D28" w:rsidRDefault="00EF1D28" w:rsidP="00EF1D28">
            <w:pPr>
              <w:pStyle w:val="ac"/>
              <w:numPr>
                <w:ilvl w:val="0"/>
                <w:numId w:val="7"/>
              </w:numPr>
              <w:rPr>
                <w:lang w:val="en-US"/>
              </w:rPr>
            </w:pPr>
            <w:r w:rsidRPr="00EF1D28">
              <w:rPr>
                <w:lang w:val="en-US"/>
              </w:rPr>
              <w:t>Organization, structure, and culture</w:t>
            </w:r>
          </w:p>
          <w:p w:rsidR="00EF1D28" w:rsidRPr="003C74D6" w:rsidRDefault="00EF1D28" w:rsidP="00EF1D28">
            <w:pPr>
              <w:pStyle w:val="ac"/>
              <w:numPr>
                <w:ilvl w:val="0"/>
                <w:numId w:val="7"/>
              </w:numPr>
              <w:rPr>
                <w:lang w:val="en-US"/>
              </w:rPr>
            </w:pPr>
            <w:r w:rsidRPr="003C74D6">
              <w:rPr>
                <w:lang w:val="en-US"/>
              </w:rPr>
              <w:t>Understanding</w:t>
            </w:r>
            <w:r w:rsidRPr="0013412C">
              <w:rPr>
                <w:lang w:val="en-US"/>
              </w:rPr>
              <w:t xml:space="preserve">  and managing</w:t>
            </w:r>
            <w:r w:rsidRPr="003C74D6">
              <w:rPr>
                <w:lang w:val="en-US"/>
              </w:rPr>
              <w:t xml:space="preserve"> individuals and teams</w:t>
            </w:r>
          </w:p>
          <w:p w:rsidR="00EF1D28" w:rsidRPr="00EF1D28" w:rsidRDefault="00EF1D28" w:rsidP="00EF1D28">
            <w:pPr>
              <w:pStyle w:val="ac"/>
              <w:numPr>
                <w:ilvl w:val="0"/>
                <w:numId w:val="7"/>
              </w:numPr>
              <w:rPr>
                <w:lang w:val="en-US"/>
              </w:rPr>
            </w:pPr>
            <w:r w:rsidRPr="00EF1D28">
              <w:rPr>
                <w:lang w:val="en-US"/>
              </w:rPr>
              <w:t>Leadership</w:t>
            </w:r>
          </w:p>
          <w:p w:rsidR="00EF1D28" w:rsidRPr="003C74D6" w:rsidRDefault="00EF1D28" w:rsidP="00EF1D28">
            <w:pPr>
              <w:pStyle w:val="ac"/>
              <w:numPr>
                <w:ilvl w:val="0"/>
                <w:numId w:val="7"/>
              </w:numPr>
              <w:rPr>
                <w:lang w:val="en-US"/>
              </w:rPr>
            </w:pPr>
            <w:r w:rsidRPr="003C74D6">
              <w:rPr>
                <w:lang w:val="en-US"/>
              </w:rPr>
              <w:t>Communication, motivation, and conflict management</w:t>
            </w:r>
          </w:p>
          <w:p w:rsidR="00613DCA" w:rsidRPr="00EF1D28" w:rsidRDefault="00EF1D28" w:rsidP="00EF1D28">
            <w:pPr>
              <w:pStyle w:val="ac"/>
              <w:numPr>
                <w:ilvl w:val="0"/>
                <w:numId w:val="7"/>
              </w:numPr>
              <w:rPr>
                <w:lang w:val="en-US"/>
              </w:rPr>
            </w:pPr>
            <w:r w:rsidRPr="003C74D6">
              <w:rPr>
                <w:lang w:val="en-US"/>
              </w:rPr>
              <w:t>Managing in the global environment: Ethics, social responsibility, innovation, and diversity</w:t>
            </w:r>
          </w:p>
        </w:tc>
      </w:tr>
      <w:tr w:rsidR="00C42A27" w:rsidRPr="00D37CDF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EF1D28" w:rsidRDefault="00C42A27" w:rsidP="00EF1D28">
            <w:pPr>
              <w:pStyle w:val="ac"/>
              <w:rPr>
                <w:lang w:val="en-US"/>
              </w:rPr>
            </w:pPr>
            <w:r w:rsidRPr="00EF1D28">
              <w:rPr>
                <w:lang w:val="en-US"/>
              </w:rPr>
              <w:lastRenderedPageBreak/>
              <w:t>Teaching and Learning Methods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EF1D28" w:rsidRDefault="00EF1D28" w:rsidP="00EF1D28">
            <w:pPr>
              <w:pStyle w:val="ac"/>
              <w:rPr>
                <w:lang w:val="en-US"/>
              </w:rPr>
            </w:pPr>
            <w:r w:rsidRPr="003C74D6">
              <w:rPr>
                <w:lang w:val="en-US"/>
              </w:rPr>
              <w:t>The course combines lectures and interactive seminars to promote student critical thinking and problem-solving skills. The course assignments are based on the current literature in management and include individual and group work, traditional and experiential learning activities, group presentations, and written assignments</w:t>
            </w:r>
            <w:r w:rsidRPr="00EF1D28">
              <w:rPr>
                <w:lang w:val="en-US"/>
              </w:rPr>
              <w:t xml:space="preserve">. </w:t>
            </w:r>
          </w:p>
        </w:tc>
      </w:tr>
      <w:tr w:rsidR="00C42A27" w:rsidRPr="00D37CDF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EF1D28" w:rsidRDefault="00C42A27" w:rsidP="00EF1D28">
            <w:pPr>
              <w:pStyle w:val="ac"/>
              <w:rPr>
                <w:lang w:val="en-US"/>
              </w:rPr>
            </w:pPr>
            <w:r w:rsidRPr="00EF1D28">
              <w:rPr>
                <w:lang w:val="en-US"/>
              </w:rPr>
              <w:t>Indicative Assessment Methods and Strategy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21CA" w:rsidRPr="0013412C" w:rsidRDefault="009E21CA" w:rsidP="009E21CA">
            <w:pPr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13412C">
              <w:rPr>
                <w:lang w:val="en-US"/>
              </w:rPr>
              <w:t>The cumulative grade consists of grades for all homework assignments and the quizzes and is calculated as follows:</w:t>
            </w:r>
            <w:r w:rsidRPr="009E21CA">
              <w:rPr>
                <w:lang w:val="en-US"/>
              </w:rPr>
              <w:t xml:space="preserve">  </w:t>
            </w:r>
            <w:r w:rsidRPr="0013412C">
              <w:rPr>
                <w:sz w:val="28"/>
                <w:szCs w:val="28"/>
              </w:rPr>
              <w:t>О</w:t>
            </w:r>
            <w:r w:rsidRPr="0013412C">
              <w:rPr>
                <w:i/>
                <w:sz w:val="28"/>
                <w:szCs w:val="28"/>
                <w:vertAlign w:val="subscript"/>
                <w:lang w:val="en-US"/>
              </w:rPr>
              <w:t>cumulative</w:t>
            </w:r>
            <w:r w:rsidRPr="0013412C">
              <w:rPr>
                <w:sz w:val="28"/>
                <w:szCs w:val="28"/>
                <w:lang w:val="en-US"/>
              </w:rPr>
              <w:t>= 0,1</w:t>
            </w:r>
            <w:r w:rsidRPr="0013412C">
              <w:rPr>
                <w:lang w:val="en-US"/>
              </w:rPr>
              <w:t>·</w:t>
            </w:r>
            <w:r w:rsidRPr="0013412C">
              <w:rPr>
                <w:sz w:val="28"/>
                <w:szCs w:val="28"/>
              </w:rPr>
              <w:t>О</w:t>
            </w:r>
            <w:r w:rsidRPr="0013412C">
              <w:rPr>
                <w:i/>
                <w:sz w:val="28"/>
                <w:szCs w:val="28"/>
                <w:vertAlign w:val="subscript"/>
                <w:lang w:val="en-US"/>
              </w:rPr>
              <w:t>class participation</w:t>
            </w:r>
            <w:r w:rsidRPr="0013412C">
              <w:rPr>
                <w:sz w:val="28"/>
                <w:szCs w:val="28"/>
                <w:lang w:val="en-US"/>
              </w:rPr>
              <w:t>+ 0,1</w:t>
            </w:r>
            <w:r w:rsidRPr="0013412C">
              <w:rPr>
                <w:lang w:val="en-US"/>
              </w:rPr>
              <w:t>·</w:t>
            </w:r>
            <w:r w:rsidRPr="0013412C">
              <w:rPr>
                <w:sz w:val="28"/>
                <w:szCs w:val="28"/>
              </w:rPr>
              <w:t>О</w:t>
            </w:r>
            <w:r w:rsidRPr="0013412C">
              <w:rPr>
                <w:i/>
                <w:sz w:val="28"/>
                <w:szCs w:val="28"/>
                <w:vertAlign w:val="subscript"/>
                <w:lang w:val="en-US"/>
              </w:rPr>
              <w:t>A1</w:t>
            </w:r>
            <w:r w:rsidRPr="0013412C">
              <w:rPr>
                <w:sz w:val="28"/>
                <w:szCs w:val="28"/>
                <w:vertAlign w:val="subscript"/>
                <w:lang w:val="en-US"/>
              </w:rPr>
              <w:t>,</w:t>
            </w:r>
            <w:r w:rsidRPr="0013412C">
              <w:rPr>
                <w:lang w:val="en-US"/>
              </w:rPr>
              <w:t xml:space="preserve"> +</w:t>
            </w:r>
            <w:r w:rsidRPr="0013412C">
              <w:rPr>
                <w:sz w:val="28"/>
                <w:szCs w:val="28"/>
                <w:lang w:val="en-US"/>
              </w:rPr>
              <w:t>0,1</w:t>
            </w:r>
            <w:r w:rsidRPr="0013412C">
              <w:rPr>
                <w:lang w:val="en-US"/>
              </w:rPr>
              <w:t>·</w:t>
            </w:r>
            <w:r w:rsidRPr="0013412C">
              <w:rPr>
                <w:sz w:val="28"/>
                <w:szCs w:val="28"/>
              </w:rPr>
              <w:t>О</w:t>
            </w:r>
            <w:r w:rsidRPr="0013412C">
              <w:rPr>
                <w:i/>
                <w:sz w:val="28"/>
                <w:szCs w:val="28"/>
                <w:vertAlign w:val="subscript"/>
                <w:lang w:val="en-US"/>
              </w:rPr>
              <w:t>A2+</w:t>
            </w:r>
            <w:r w:rsidRPr="0013412C">
              <w:rPr>
                <w:sz w:val="28"/>
                <w:szCs w:val="28"/>
                <w:lang w:val="en-US"/>
              </w:rPr>
              <w:t>0,1</w:t>
            </w:r>
            <w:r w:rsidRPr="0013412C">
              <w:rPr>
                <w:lang w:val="en-US"/>
              </w:rPr>
              <w:t>·</w:t>
            </w:r>
            <w:r w:rsidRPr="0013412C">
              <w:rPr>
                <w:sz w:val="28"/>
                <w:szCs w:val="28"/>
              </w:rPr>
              <w:t>О</w:t>
            </w:r>
            <w:r w:rsidRPr="0013412C">
              <w:rPr>
                <w:i/>
                <w:sz w:val="28"/>
                <w:szCs w:val="28"/>
                <w:vertAlign w:val="subscript"/>
                <w:lang w:val="en-US"/>
              </w:rPr>
              <w:t>A3</w:t>
            </w:r>
            <w:r w:rsidRPr="0013412C">
              <w:rPr>
                <w:sz w:val="28"/>
                <w:szCs w:val="28"/>
                <w:lang w:val="en-US"/>
              </w:rPr>
              <w:t>+ 0,3</w:t>
            </w:r>
            <w:r w:rsidRPr="0013412C">
              <w:rPr>
                <w:lang w:val="en-US"/>
              </w:rPr>
              <w:t>·</w:t>
            </w:r>
            <w:r w:rsidRPr="0013412C">
              <w:rPr>
                <w:sz w:val="28"/>
                <w:szCs w:val="28"/>
                <w:lang w:val="en-US"/>
              </w:rPr>
              <w:t xml:space="preserve"> </w:t>
            </w:r>
            <w:r w:rsidRPr="0013412C">
              <w:rPr>
                <w:sz w:val="28"/>
                <w:szCs w:val="28"/>
              </w:rPr>
              <w:t>О</w:t>
            </w:r>
            <w:r w:rsidRPr="0013412C">
              <w:rPr>
                <w:i/>
                <w:sz w:val="28"/>
                <w:szCs w:val="28"/>
                <w:vertAlign w:val="subscript"/>
                <w:lang w:val="en-US"/>
              </w:rPr>
              <w:t xml:space="preserve">quiz1 + </w:t>
            </w:r>
            <w:r w:rsidRPr="0013412C">
              <w:rPr>
                <w:sz w:val="28"/>
                <w:szCs w:val="28"/>
                <w:lang w:val="en-US"/>
              </w:rPr>
              <w:t>0,3</w:t>
            </w:r>
            <w:r w:rsidRPr="0013412C">
              <w:rPr>
                <w:lang w:val="en-US"/>
              </w:rPr>
              <w:t>·</w:t>
            </w:r>
            <w:r w:rsidRPr="0013412C">
              <w:rPr>
                <w:sz w:val="28"/>
                <w:szCs w:val="28"/>
                <w:lang w:val="en-US"/>
              </w:rPr>
              <w:t xml:space="preserve"> </w:t>
            </w:r>
            <w:r w:rsidRPr="0013412C">
              <w:rPr>
                <w:sz w:val="28"/>
                <w:szCs w:val="28"/>
              </w:rPr>
              <w:t>О</w:t>
            </w:r>
            <w:r w:rsidRPr="0013412C">
              <w:rPr>
                <w:i/>
                <w:sz w:val="28"/>
                <w:szCs w:val="28"/>
                <w:vertAlign w:val="subscript"/>
                <w:lang w:val="en-US"/>
              </w:rPr>
              <w:t>quiz2</w:t>
            </w:r>
            <w:r w:rsidRPr="0013412C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</w:p>
          <w:p w:rsidR="009E21CA" w:rsidRPr="0013412C" w:rsidRDefault="009E21CA" w:rsidP="009E21CA">
            <w:pPr>
              <w:spacing w:before="240"/>
              <w:rPr>
                <w:sz w:val="28"/>
                <w:szCs w:val="28"/>
                <w:vertAlign w:val="subscript"/>
                <w:lang w:val="en-US"/>
              </w:rPr>
            </w:pPr>
            <w:r w:rsidRPr="0013412C">
              <w:rPr>
                <w:lang w:val="en-US"/>
              </w:rPr>
              <w:t>The final grade consists of the cumulative grade and the final exam grade and is calculated as follows:</w:t>
            </w:r>
            <w:r w:rsidRPr="009E21CA">
              <w:rPr>
                <w:lang w:val="en-US"/>
              </w:rPr>
              <w:t xml:space="preserve"> </w:t>
            </w:r>
            <w:r w:rsidRPr="0013412C">
              <w:rPr>
                <w:i/>
                <w:sz w:val="28"/>
                <w:szCs w:val="28"/>
              </w:rPr>
              <w:t>О</w:t>
            </w:r>
            <w:r w:rsidRPr="0013412C">
              <w:rPr>
                <w:i/>
                <w:sz w:val="28"/>
                <w:szCs w:val="28"/>
                <w:vertAlign w:val="subscript"/>
                <w:lang w:val="en-US"/>
              </w:rPr>
              <w:t>final</w:t>
            </w:r>
            <w:r w:rsidRPr="0013412C">
              <w:rPr>
                <w:i/>
                <w:sz w:val="28"/>
                <w:szCs w:val="28"/>
                <w:lang w:val="en-US"/>
              </w:rPr>
              <w:t xml:space="preserve"> = 0,7</w:t>
            </w:r>
            <w:r w:rsidRPr="0013412C">
              <w:rPr>
                <w:lang w:val="en-US"/>
              </w:rPr>
              <w:t>·</w:t>
            </w:r>
            <w:r w:rsidRPr="0013412C">
              <w:rPr>
                <w:i/>
                <w:sz w:val="28"/>
                <w:szCs w:val="28"/>
              </w:rPr>
              <w:t>О</w:t>
            </w:r>
            <w:r w:rsidRPr="0013412C">
              <w:rPr>
                <w:i/>
                <w:sz w:val="28"/>
                <w:szCs w:val="28"/>
                <w:vertAlign w:val="subscript"/>
                <w:lang w:val="en-US"/>
              </w:rPr>
              <w:t>cumulative</w:t>
            </w:r>
            <w:r w:rsidRPr="0013412C">
              <w:rPr>
                <w:i/>
                <w:sz w:val="28"/>
                <w:szCs w:val="28"/>
                <w:lang w:val="en-US"/>
              </w:rPr>
              <w:t xml:space="preserve"> + 0,3·</w:t>
            </w:r>
            <w:r w:rsidRPr="0013412C">
              <w:rPr>
                <w:i/>
                <w:sz w:val="28"/>
                <w:szCs w:val="28"/>
              </w:rPr>
              <w:t>О</w:t>
            </w:r>
            <w:r w:rsidRPr="0013412C">
              <w:rPr>
                <w:i/>
                <w:sz w:val="28"/>
                <w:szCs w:val="28"/>
                <w:vertAlign w:val="subscript"/>
                <w:lang w:val="en-US"/>
              </w:rPr>
              <w:t xml:space="preserve">exam </w:t>
            </w:r>
          </w:p>
          <w:p w:rsidR="00C42A27" w:rsidRPr="009E21CA" w:rsidRDefault="009E21CA" w:rsidP="009E21CA">
            <w:pPr>
              <w:rPr>
                <w:lang w:val="en-US"/>
              </w:rPr>
            </w:pPr>
            <w:r w:rsidRPr="0013412C">
              <w:rPr>
                <w:lang w:val="en-US"/>
              </w:rPr>
              <w:t xml:space="preserve">Students whose cumulative grade is 8 or higher have an option of converting their cumulative grade into their final grade without taking the final exam. </w:t>
            </w:r>
          </w:p>
        </w:tc>
      </w:tr>
      <w:tr w:rsidR="00C42A27" w:rsidRPr="00EF1D28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EF1D28" w:rsidRDefault="00360ED6" w:rsidP="00EF1D28">
            <w:pPr>
              <w:pStyle w:val="ac"/>
              <w:rPr>
                <w:lang w:val="en-US"/>
              </w:rPr>
            </w:pPr>
            <w:r w:rsidRPr="00EF1D28">
              <w:rPr>
                <w:lang w:val="en-US"/>
              </w:rPr>
              <w:t xml:space="preserve">Readings / </w:t>
            </w:r>
            <w:r w:rsidR="00C42A27" w:rsidRPr="00EF1D28">
              <w:rPr>
                <w:lang w:val="en-US"/>
              </w:rPr>
              <w:t>Indicative Learning Resources</w:t>
            </w:r>
          </w:p>
          <w:p w:rsidR="00C42A27" w:rsidRPr="00EF1D28" w:rsidRDefault="00C42A27" w:rsidP="00EF1D28">
            <w:pPr>
              <w:pStyle w:val="ac"/>
              <w:rPr>
                <w:lang w:val="en-US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EF1D28" w:rsidRDefault="00C42A27" w:rsidP="00EF1D28">
            <w:pPr>
              <w:pStyle w:val="ac"/>
              <w:rPr>
                <w:lang w:val="en-US"/>
              </w:rPr>
            </w:pPr>
            <w:r w:rsidRPr="00EF1D28">
              <w:rPr>
                <w:lang w:val="en-US"/>
              </w:rPr>
              <w:t xml:space="preserve">Mandatory </w:t>
            </w:r>
          </w:p>
          <w:p w:rsidR="00EF1D28" w:rsidRPr="00EF1D28" w:rsidRDefault="00EF1D28" w:rsidP="00EF1D2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3412C">
              <w:rPr>
                <w:lang w:val="en-US"/>
              </w:rPr>
              <w:t xml:space="preserve">Daft, R. L. (2015). </w:t>
            </w:r>
            <w:r w:rsidRPr="0013412C">
              <w:rPr>
                <w:i/>
                <w:lang w:val="en-US"/>
              </w:rPr>
              <w:t xml:space="preserve">Management. </w:t>
            </w:r>
            <w:r w:rsidRPr="0013412C">
              <w:rPr>
                <w:lang w:val="en-US"/>
              </w:rPr>
              <w:t>Boston, MA:</w:t>
            </w:r>
            <w:r w:rsidRPr="0013412C">
              <w:rPr>
                <w:i/>
                <w:lang w:val="en-US"/>
              </w:rPr>
              <w:t xml:space="preserve"> </w:t>
            </w:r>
            <w:r w:rsidRPr="0013412C">
              <w:rPr>
                <w:lang w:val="en-US"/>
              </w:rPr>
              <w:t>Cengage Learning.</w:t>
            </w:r>
          </w:p>
          <w:p w:rsidR="00C42A27" w:rsidRPr="00EF1D28" w:rsidRDefault="00C42A27" w:rsidP="00EF1D28">
            <w:pPr>
              <w:pStyle w:val="ac"/>
              <w:rPr>
                <w:lang w:val="en-US"/>
              </w:rPr>
            </w:pPr>
            <w:r w:rsidRPr="00EF1D28">
              <w:rPr>
                <w:lang w:val="en-US"/>
              </w:rPr>
              <w:t xml:space="preserve">Optional </w:t>
            </w:r>
          </w:p>
          <w:p w:rsidR="00EF1D28" w:rsidRPr="00EF1D28" w:rsidRDefault="00EF1D28" w:rsidP="00EF1D28">
            <w:pPr>
              <w:pStyle w:val="ac"/>
              <w:rPr>
                <w:lang w:val="en-US"/>
              </w:rPr>
            </w:pPr>
            <w:r w:rsidRPr="0013412C">
              <w:rPr>
                <w:lang w:val="en-US"/>
              </w:rPr>
              <w:t xml:space="preserve">Drucker, P. F. (2008). </w:t>
            </w:r>
            <w:r w:rsidRPr="00EF1D28">
              <w:rPr>
                <w:lang w:val="en-US"/>
              </w:rPr>
              <w:t xml:space="preserve">Management </w:t>
            </w:r>
            <w:r w:rsidRPr="0013412C">
              <w:rPr>
                <w:lang w:val="en-US"/>
              </w:rPr>
              <w:t>(Rev. Ed.). Harper-Collins. ISBN 978-0061252662</w:t>
            </w:r>
          </w:p>
          <w:p w:rsidR="00EF1D28" w:rsidRPr="009E21CA" w:rsidRDefault="00EF1D28" w:rsidP="00EF1D28">
            <w:pPr>
              <w:pStyle w:val="ac"/>
              <w:rPr>
                <w:bCs/>
                <w:lang w:val="en-US"/>
              </w:rPr>
            </w:pPr>
            <w:r w:rsidRPr="00EF1D28">
              <w:rPr>
                <w:lang w:val="en-US"/>
              </w:rPr>
              <w:t xml:space="preserve">Hamel, G. (2008). </w:t>
            </w:r>
            <w:r w:rsidRPr="009E21CA">
              <w:rPr>
                <w:bCs/>
                <w:lang w:val="en-US"/>
              </w:rPr>
              <w:t>The future of management. Harvard, Ma: Harvard Business School.</w:t>
            </w:r>
          </w:p>
          <w:p w:rsidR="00EF1D28" w:rsidRPr="00EF1D28" w:rsidRDefault="00EF1D28" w:rsidP="00EF1D28">
            <w:pPr>
              <w:pStyle w:val="ac"/>
              <w:rPr>
                <w:lang w:val="en-US"/>
              </w:rPr>
            </w:pPr>
            <w:r w:rsidRPr="00D37CDF">
              <w:rPr>
                <w:lang w:val="nb-NO"/>
              </w:rPr>
              <w:t xml:space="preserve">Wagner, R., &amp; </w:t>
            </w:r>
            <w:proofErr w:type="spellStart"/>
            <w:r w:rsidRPr="00D37CDF">
              <w:rPr>
                <w:lang w:val="nb-NO"/>
              </w:rPr>
              <w:t>Harter</w:t>
            </w:r>
            <w:proofErr w:type="spellEnd"/>
            <w:r w:rsidRPr="00D37CDF">
              <w:rPr>
                <w:lang w:val="nb-NO"/>
              </w:rPr>
              <w:t xml:space="preserve">, J. K. (2006). </w:t>
            </w:r>
            <w:r w:rsidRPr="009E21CA">
              <w:rPr>
                <w:bCs/>
                <w:lang w:val="en-US"/>
              </w:rPr>
              <w:t>12</w:t>
            </w:r>
            <w:r w:rsidRPr="00EF1D28">
              <w:rPr>
                <w:lang w:val="en-US"/>
              </w:rPr>
              <w:t>: The </w:t>
            </w:r>
            <w:r w:rsidRPr="009E21CA">
              <w:rPr>
                <w:bCs/>
                <w:lang w:val="en-US"/>
              </w:rPr>
              <w:t>elements</w:t>
            </w:r>
            <w:r w:rsidRPr="00EF1D28">
              <w:rPr>
                <w:lang w:val="en-US"/>
              </w:rPr>
              <w:t> of </w:t>
            </w:r>
            <w:r w:rsidRPr="009E21CA">
              <w:rPr>
                <w:bCs/>
                <w:lang w:val="en-US"/>
              </w:rPr>
              <w:t>great</w:t>
            </w:r>
            <w:r w:rsidRPr="00EF1D28">
              <w:rPr>
                <w:lang w:val="en-US"/>
              </w:rPr>
              <w:t> </w:t>
            </w:r>
            <w:r w:rsidRPr="009E21CA">
              <w:rPr>
                <w:bCs/>
                <w:lang w:val="en-US"/>
              </w:rPr>
              <w:t>managing. Washington, DC:</w:t>
            </w:r>
            <w:r w:rsidRPr="00EF1D28">
              <w:rPr>
                <w:lang w:val="en-US"/>
              </w:rPr>
              <w:t> The Gallup Organization.</w:t>
            </w:r>
          </w:p>
          <w:p w:rsidR="00EF1D28" w:rsidRPr="00EF1D28" w:rsidRDefault="00EF1D28" w:rsidP="00EF1D28">
            <w:pPr>
              <w:pStyle w:val="ac"/>
            </w:pPr>
            <w:proofErr w:type="spellStart"/>
            <w:r w:rsidRPr="00EF1D28">
              <w:rPr>
                <w:lang w:val="en-US"/>
              </w:rPr>
              <w:t>Cappellen</w:t>
            </w:r>
            <w:proofErr w:type="spellEnd"/>
            <w:r w:rsidRPr="00EF1D28">
              <w:rPr>
                <w:lang w:val="en-US"/>
              </w:rPr>
              <w:t>, T., &amp; Janssens, M. (2010). The career reality of global managers: An examination of career triggers. The International Journal of Human Resource Management, 21</w:t>
            </w:r>
            <w:r w:rsidRPr="0013412C">
              <w:rPr>
                <w:lang w:val="en-US"/>
              </w:rPr>
              <w:t xml:space="preserve">(11), 1884-1910. </w:t>
            </w:r>
            <w:proofErr w:type="spellStart"/>
            <w:r w:rsidRPr="0013412C">
              <w:rPr>
                <w:lang w:val="en-US"/>
              </w:rPr>
              <w:t>doi</w:t>
            </w:r>
            <w:proofErr w:type="spellEnd"/>
            <w:r w:rsidRPr="0013412C">
              <w:rPr>
                <w:lang w:val="en-US"/>
              </w:rPr>
              <w:t>: 10.1080/09585192.2010.505090</w:t>
            </w:r>
          </w:p>
        </w:tc>
      </w:tr>
      <w:tr w:rsidR="00C42A27" w:rsidRPr="009E21CA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EF1D28" w:rsidRDefault="00C42A27" w:rsidP="00EF1D28">
            <w:pPr>
              <w:pStyle w:val="ac"/>
              <w:rPr>
                <w:lang w:val="en-US"/>
              </w:rPr>
            </w:pPr>
            <w:r w:rsidRPr="00EF1D28">
              <w:rPr>
                <w:lang w:val="en-US"/>
              </w:rPr>
              <w:t>Course Instructor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EF1D28" w:rsidRDefault="00CB495B" w:rsidP="00392795">
            <w:pPr>
              <w:rPr>
                <w:lang w:val="en-US"/>
              </w:rPr>
            </w:pPr>
            <w:r>
              <w:fldChar w:fldCharType="begin"/>
            </w:r>
            <w:r w:rsidR="00EF1D28" w:rsidRPr="00326CAA">
              <w:rPr>
                <w:lang w:val="en-US"/>
              </w:rPr>
              <w:instrText xml:space="preserve"> FILLIN   \* MERGEFORMAT </w:instrText>
            </w:r>
            <w:r>
              <w:fldChar w:fldCharType="separate"/>
            </w:r>
            <w:r w:rsidR="00EF1D28" w:rsidRPr="0013412C">
              <w:rPr>
                <w:lang w:val="en-US"/>
              </w:rPr>
              <w:t xml:space="preserve">Maria S. </w:t>
            </w:r>
            <w:proofErr w:type="spellStart"/>
            <w:r w:rsidR="00EF1D28" w:rsidRPr="0013412C">
              <w:rPr>
                <w:lang w:val="en-US"/>
              </w:rPr>
              <w:t>Plakhotnik</w:t>
            </w:r>
            <w:proofErr w:type="spellEnd"/>
            <w:r w:rsidR="00EF1D28" w:rsidRPr="0013412C">
              <w:rPr>
                <w:lang w:val="en-US"/>
              </w:rPr>
              <w:t xml:space="preserve"> </w:t>
            </w:r>
            <w:r>
              <w:fldChar w:fldCharType="end"/>
            </w:r>
          </w:p>
        </w:tc>
      </w:tr>
    </w:tbl>
    <w:p w:rsidR="00D4693C" w:rsidRPr="00EF1D28" w:rsidRDefault="00D4693C" w:rsidP="00D4693C">
      <w:pPr>
        <w:spacing w:after="0" w:line="240" w:lineRule="auto"/>
        <w:jc w:val="both"/>
        <w:rPr>
          <w:lang w:val="en-US"/>
        </w:rPr>
      </w:pPr>
    </w:p>
    <w:sectPr w:rsidR="00D4693C" w:rsidRPr="00EF1D28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B2A" w:rsidRDefault="003F6B2A" w:rsidP="00F31F02">
      <w:pPr>
        <w:spacing w:after="0" w:line="240" w:lineRule="auto"/>
      </w:pPr>
      <w:r>
        <w:separator/>
      </w:r>
    </w:p>
  </w:endnote>
  <w:endnote w:type="continuationSeparator" w:id="0">
    <w:p w:rsidR="003F6B2A" w:rsidRDefault="003F6B2A" w:rsidP="00F3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B2A" w:rsidRDefault="003F6B2A" w:rsidP="00F31F02">
      <w:pPr>
        <w:spacing w:after="0" w:line="240" w:lineRule="auto"/>
      </w:pPr>
      <w:r>
        <w:separator/>
      </w:r>
    </w:p>
  </w:footnote>
  <w:footnote w:type="continuationSeparator" w:id="0">
    <w:p w:rsidR="003F6B2A" w:rsidRDefault="003F6B2A" w:rsidP="00F3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3A53"/>
    <w:multiLevelType w:val="hybridMultilevel"/>
    <w:tmpl w:val="62943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C23914"/>
    <w:multiLevelType w:val="hybridMultilevel"/>
    <w:tmpl w:val="FEC43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D3CC2"/>
    <w:multiLevelType w:val="hybridMultilevel"/>
    <w:tmpl w:val="1848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330C7"/>
    <w:multiLevelType w:val="hybridMultilevel"/>
    <w:tmpl w:val="50483B86"/>
    <w:lvl w:ilvl="0" w:tplc="51A0C2C8">
      <w:start w:val="1"/>
      <w:numFmt w:val="bullet"/>
      <w:pStyle w:val="a0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6" w15:restartNumberingAfterBreak="0">
    <w:nsid w:val="7B733D54"/>
    <w:multiLevelType w:val="hybridMultilevel"/>
    <w:tmpl w:val="7B5C1052"/>
    <w:lvl w:ilvl="0" w:tplc="80B2A0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90A03"/>
    <w:multiLevelType w:val="hybridMultilevel"/>
    <w:tmpl w:val="A0FEE14E"/>
    <w:lvl w:ilvl="0" w:tplc="4D6A6B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A27"/>
    <w:rsid w:val="00016FD6"/>
    <w:rsid w:val="001269F5"/>
    <w:rsid w:val="001A4F1E"/>
    <w:rsid w:val="00227878"/>
    <w:rsid w:val="002376BB"/>
    <w:rsid w:val="00291313"/>
    <w:rsid w:val="0033665B"/>
    <w:rsid w:val="00350F7A"/>
    <w:rsid w:val="00360ED6"/>
    <w:rsid w:val="00392795"/>
    <w:rsid w:val="003F6B2A"/>
    <w:rsid w:val="00450523"/>
    <w:rsid w:val="004621E2"/>
    <w:rsid w:val="004676FF"/>
    <w:rsid w:val="004B1D7A"/>
    <w:rsid w:val="004E303F"/>
    <w:rsid w:val="00554AD8"/>
    <w:rsid w:val="0057785A"/>
    <w:rsid w:val="00581152"/>
    <w:rsid w:val="00613DCA"/>
    <w:rsid w:val="00644510"/>
    <w:rsid w:val="006A0D74"/>
    <w:rsid w:val="006F1B3F"/>
    <w:rsid w:val="007A2171"/>
    <w:rsid w:val="00925F7A"/>
    <w:rsid w:val="009E21CA"/>
    <w:rsid w:val="00B5254A"/>
    <w:rsid w:val="00BF62EB"/>
    <w:rsid w:val="00C42A27"/>
    <w:rsid w:val="00CB495B"/>
    <w:rsid w:val="00D37CDF"/>
    <w:rsid w:val="00D4693C"/>
    <w:rsid w:val="00D640A5"/>
    <w:rsid w:val="00D85442"/>
    <w:rsid w:val="00D95D7E"/>
    <w:rsid w:val="00DA08B5"/>
    <w:rsid w:val="00DB57AC"/>
    <w:rsid w:val="00DE016F"/>
    <w:rsid w:val="00E9042D"/>
    <w:rsid w:val="00EF1D28"/>
    <w:rsid w:val="00F064BA"/>
    <w:rsid w:val="00F31F02"/>
    <w:rsid w:val="00F54D9C"/>
    <w:rsid w:val="00F9669D"/>
    <w:rsid w:val="00FC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66510"/>
  <w15:docId w15:val="{D762658B-035F-4C94-A239-7AB3B8C9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2"/>
    <w:next w:val="a1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2">
    <w:name w:val="List Paragraph"/>
    <w:basedOn w:val="a1"/>
    <w:uiPriority w:val="34"/>
    <w:qFormat/>
    <w:rsid w:val="00C42A27"/>
    <w:pPr>
      <w:ind w:left="720"/>
      <w:contextualSpacing/>
    </w:pPr>
  </w:style>
  <w:style w:type="paragraph" w:styleId="a6">
    <w:name w:val="footnote text"/>
    <w:basedOn w:val="a1"/>
    <w:link w:val="a7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3"/>
    <w:link w:val="a6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3"/>
    <w:uiPriority w:val="99"/>
    <w:semiHidden/>
    <w:unhideWhenUsed/>
    <w:rsid w:val="00F31F02"/>
    <w:rPr>
      <w:vertAlign w:val="superscript"/>
    </w:rPr>
  </w:style>
  <w:style w:type="table" w:styleId="a9">
    <w:name w:val="Table Grid"/>
    <w:basedOn w:val="a4"/>
    <w:uiPriority w:val="59"/>
    <w:rsid w:val="00F3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1"/>
    <w:link w:val="ab"/>
    <w:uiPriority w:val="99"/>
    <w:semiHidden/>
    <w:unhideWhenUsed/>
    <w:rsid w:val="006F1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6F1B3F"/>
    <w:rPr>
      <w:rFonts w:ascii="Segoe UI" w:eastAsia="Calibri" w:hAnsi="Segoe UI" w:cs="Segoe UI"/>
      <w:sz w:val="18"/>
      <w:szCs w:val="18"/>
    </w:rPr>
  </w:style>
  <w:style w:type="paragraph" w:customStyle="1" w:styleId="a0">
    <w:name w:val="Маркированный."/>
    <w:basedOn w:val="a1"/>
    <w:rsid w:val="00EF1D28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F1D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name w:val="нумерованный содержание"/>
    <w:basedOn w:val="a1"/>
    <w:rsid w:val="00EF1D28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EF1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094C-28B8-49A7-A088-2506D304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Jeffrey Dale Downing</cp:lastModifiedBy>
  <cp:revision>6</cp:revision>
  <cp:lastPrinted>2018-03-13T09:40:00Z</cp:lastPrinted>
  <dcterms:created xsi:type="dcterms:W3CDTF">2018-04-03T11:32:00Z</dcterms:created>
  <dcterms:modified xsi:type="dcterms:W3CDTF">2019-03-07T09:49:00Z</dcterms:modified>
</cp:coreProperties>
</file>