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E750F0">
            <w:pPr>
              <w:pStyle w:val="ab"/>
              <w:rPr>
                <w:lang w:val="en-US"/>
              </w:rPr>
            </w:pPr>
            <w:r>
              <w:rPr>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E750F0" w:rsidRDefault="00E750F0" w:rsidP="00E750F0">
            <w:pPr>
              <w:pStyle w:val="ab"/>
              <w:rPr>
                <w:b/>
              </w:rPr>
            </w:pPr>
            <w:r w:rsidRPr="000940FF">
              <w:rPr>
                <w:b/>
                <w:lang w:val="en-US"/>
              </w:rPr>
              <w:t>Marketing</w:t>
            </w:r>
          </w:p>
        </w:tc>
      </w:tr>
      <w:tr w:rsidR="00C42A27" w:rsidRPr="00E750F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E750F0">
            <w:pPr>
              <w:pStyle w:val="ab"/>
              <w:rPr>
                <w:lang w:val="en-US"/>
              </w:rPr>
            </w:pPr>
            <w:r>
              <w:rPr>
                <w:lang w:val="en-US"/>
              </w:rPr>
              <w:t xml:space="preserve">Title of the Academic </w:t>
            </w:r>
            <w:proofErr w:type="spellStart"/>
            <w:r>
              <w:rPr>
                <w:lang w:val="en-US"/>
              </w:rPr>
              <w:t>Programme</w:t>
            </w:r>
            <w:proofErr w:type="spellEnd"/>
            <w:r>
              <w:rPr>
                <w:lang w:val="en-US"/>
              </w:rPr>
              <w:t xml:space="preserv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E750F0" w:rsidRPr="000940FF" w:rsidRDefault="00E750F0" w:rsidP="00E750F0">
            <w:pPr>
              <w:pStyle w:val="ab"/>
              <w:rPr>
                <w:lang w:val="en-US"/>
              </w:rPr>
            </w:pPr>
            <w:bookmarkStart w:id="0" w:name="_GoBack"/>
            <w:bookmarkEnd w:id="0"/>
            <w:r w:rsidRPr="000940FF">
              <w:rPr>
                <w:lang w:val="en-US"/>
              </w:rPr>
              <w:t>Management</w:t>
            </w:r>
            <w:r>
              <w:rPr>
                <w:lang w:val="en-US"/>
              </w:rPr>
              <w:t xml:space="preserve"> </w:t>
            </w:r>
          </w:p>
          <w:p w:rsidR="00C42A27" w:rsidRDefault="00C42A27" w:rsidP="00E750F0">
            <w:pPr>
              <w:pStyle w:val="ab"/>
              <w:rPr>
                <w:lang w:val="en-US"/>
              </w:rPr>
            </w:pP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E750F0">
            <w:pPr>
              <w:pStyle w:val="ab"/>
              <w:rPr>
                <w:lang w:val="en-US"/>
              </w:rPr>
            </w:pPr>
            <w:r>
              <w:rPr>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E750F0" w:rsidP="00E750F0">
            <w:pPr>
              <w:pStyle w:val="ab"/>
              <w:rPr>
                <w:lang w:val="en-US"/>
              </w:rPr>
            </w:pPr>
            <w:r>
              <w:rPr>
                <w:lang w:val="en-US"/>
              </w:rPr>
              <w:t>Core</w:t>
            </w:r>
          </w:p>
        </w:tc>
      </w:tr>
      <w:tr w:rsidR="00C42A27" w:rsidRPr="00967E1E"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E750F0">
            <w:pPr>
              <w:pStyle w:val="ab"/>
              <w:rPr>
                <w:lang w:val="en-US"/>
              </w:rPr>
            </w:pPr>
            <w:r>
              <w:rPr>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E750F0" w:rsidP="00E750F0">
            <w:pPr>
              <w:pStyle w:val="ab"/>
              <w:rPr>
                <w:lang w:val="en-US"/>
              </w:rPr>
            </w:pPr>
            <w:r w:rsidRPr="00C80751">
              <w:rPr>
                <w:bCs/>
                <w:lang w:val="en-US"/>
              </w:rPr>
              <w:t>History and Theory of Management, Theory</w:t>
            </w:r>
            <w:r>
              <w:rPr>
                <w:bCs/>
                <w:lang w:val="en-US"/>
              </w:rPr>
              <w:t xml:space="preserve"> </w:t>
            </w:r>
            <w:r w:rsidRPr="00C80751">
              <w:rPr>
                <w:bCs/>
                <w:lang w:val="en-US"/>
              </w:rPr>
              <w:t xml:space="preserve">of Organization and Organizational Behavior, Marketing, </w:t>
            </w:r>
            <w:r>
              <w:rPr>
                <w:bCs/>
                <w:lang w:val="en-US"/>
              </w:rPr>
              <w:t>Human Resource</w:t>
            </w:r>
            <w:r w:rsidRPr="00C80751">
              <w:rPr>
                <w:bCs/>
                <w:lang w:val="en-US"/>
              </w:rPr>
              <w:t xml:space="preserve"> Management, </w:t>
            </w:r>
            <w:r>
              <w:rPr>
                <w:bCs/>
                <w:lang w:val="en-US"/>
              </w:rPr>
              <w:t>International Business</w:t>
            </w:r>
            <w:r w:rsidRPr="00C80751">
              <w:rPr>
                <w:bCs/>
                <w:lang w:val="en-US"/>
              </w:rPr>
              <w:t>, International Business Strategies</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E750F0">
            <w:pPr>
              <w:pStyle w:val="ab"/>
              <w:rPr>
                <w:lang w:val="en-US"/>
              </w:rPr>
            </w:pPr>
            <w:r>
              <w:rPr>
                <w:lang w:val="en-US"/>
              </w:rPr>
              <w:t>ECTS</w:t>
            </w:r>
            <w:r w:rsidR="00D85442">
              <w:rPr>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BF5637" w:rsidP="00E750F0">
            <w:pPr>
              <w:pStyle w:val="ab"/>
              <w:rPr>
                <w:lang w:val="en-US"/>
              </w:rPr>
            </w:pPr>
            <w:r>
              <w:rPr>
                <w:lang w:val="en-US"/>
              </w:rPr>
              <w:t>4</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E750F0">
            <w:pPr>
              <w:pStyle w:val="ab"/>
              <w:rPr>
                <w:lang w:val="en-US"/>
              </w:rPr>
            </w:pPr>
            <w:r w:rsidRPr="00E9042D">
              <w:rPr>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rsidP="00E750F0">
            <w:pPr>
              <w:pStyle w:val="ab"/>
              <w:rPr>
                <w:lang w:val="en-US"/>
              </w:rPr>
            </w:pPr>
            <w:r>
              <w:rPr>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rsidP="00E750F0">
            <w:pPr>
              <w:pStyle w:val="ab"/>
              <w:rPr>
                <w:lang w:val="en-US"/>
              </w:rPr>
            </w:pPr>
            <w:r>
              <w:rPr>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rsidP="00E750F0">
            <w:pPr>
              <w:pStyle w:val="ab"/>
              <w:rPr>
                <w:lang w:val="en-US"/>
              </w:rPr>
            </w:pPr>
            <w:r>
              <w:rPr>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rsidP="00E750F0">
            <w:pPr>
              <w:pStyle w:val="ab"/>
              <w:rPr>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BF5637" w:rsidRDefault="00BF5637" w:rsidP="00E750F0">
            <w:pPr>
              <w:pStyle w:val="ab"/>
              <w:rPr>
                <w:lang w:val="nb-NO"/>
              </w:rPr>
            </w:pPr>
            <w:r>
              <w:rPr>
                <w:lang w:val="nb-NO"/>
              </w:rPr>
              <w:t>52</w:t>
            </w:r>
          </w:p>
        </w:tc>
        <w:tc>
          <w:tcPr>
            <w:tcW w:w="2410" w:type="dxa"/>
            <w:tcBorders>
              <w:top w:val="single" w:sz="4" w:space="0" w:color="auto"/>
              <w:left w:val="single" w:sz="4" w:space="0" w:color="auto"/>
              <w:bottom w:val="single" w:sz="4" w:space="0" w:color="auto"/>
              <w:right w:val="single" w:sz="4" w:space="0" w:color="auto"/>
            </w:tcBorders>
          </w:tcPr>
          <w:p w:rsidR="00C42A27" w:rsidRPr="00BF5637" w:rsidRDefault="00BF5637" w:rsidP="00E750F0">
            <w:pPr>
              <w:pStyle w:val="ab"/>
              <w:rPr>
                <w:lang w:val="nb-NO"/>
              </w:rPr>
            </w:pPr>
            <w:r>
              <w:rPr>
                <w:lang w:val="nb-NO"/>
              </w:rPr>
              <w:t>100</w:t>
            </w:r>
          </w:p>
        </w:tc>
        <w:tc>
          <w:tcPr>
            <w:tcW w:w="2552" w:type="dxa"/>
            <w:tcBorders>
              <w:top w:val="single" w:sz="4" w:space="0" w:color="auto"/>
              <w:left w:val="single" w:sz="4" w:space="0" w:color="auto"/>
              <w:bottom w:val="single" w:sz="4" w:space="0" w:color="auto"/>
              <w:right w:val="single" w:sz="4" w:space="0" w:color="auto"/>
            </w:tcBorders>
          </w:tcPr>
          <w:p w:rsidR="00C42A27" w:rsidRDefault="00BF5637" w:rsidP="00E750F0">
            <w:pPr>
              <w:pStyle w:val="ab"/>
              <w:rPr>
                <w:lang w:val="en-US"/>
              </w:rPr>
            </w:pPr>
            <w:r>
              <w:rPr>
                <w:lang w:val="en-US"/>
              </w:rPr>
              <w:t>152</w:t>
            </w:r>
          </w:p>
        </w:tc>
      </w:tr>
      <w:tr w:rsidR="00C42A27" w:rsidRPr="00967E1E"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E750F0">
            <w:pPr>
              <w:pStyle w:val="ab"/>
              <w:rPr>
                <w:lang w:val="en-US"/>
              </w:rPr>
            </w:pPr>
            <w:r w:rsidRPr="00E9042D">
              <w:rPr>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750F0" w:rsidRPr="0042154C" w:rsidRDefault="00E750F0" w:rsidP="00E750F0">
            <w:pPr>
              <w:pStyle w:val="ab"/>
              <w:rPr>
                <w:lang w:val="en-US"/>
              </w:rPr>
            </w:pPr>
            <w:r w:rsidRPr="0042154C">
              <w:rPr>
                <w:lang w:val="en-US"/>
              </w:rPr>
              <w:t xml:space="preserve">The course addresses marketing issues faced by </w:t>
            </w:r>
            <w:r>
              <w:rPr>
                <w:lang w:val="en-US"/>
              </w:rPr>
              <w:t xml:space="preserve">international </w:t>
            </w:r>
            <w:r w:rsidRPr="0042154C">
              <w:rPr>
                <w:lang w:val="en-US"/>
              </w:rPr>
              <w:t>companies operating across borders in the rapidly changing world</w:t>
            </w:r>
            <w:r>
              <w:rPr>
                <w:lang w:val="en-US"/>
              </w:rPr>
              <w:t>.</w:t>
            </w:r>
            <w:r w:rsidRPr="0042154C">
              <w:rPr>
                <w:lang w:val="en-US"/>
              </w:rPr>
              <w:t xml:space="preserve"> </w:t>
            </w:r>
            <w:r>
              <w:rPr>
                <w:lang w:val="en-US"/>
              </w:rPr>
              <w:t xml:space="preserve">As the global market </w:t>
            </w:r>
            <w:r w:rsidRPr="0042154C">
              <w:rPr>
                <w:lang w:val="en-US"/>
              </w:rPr>
              <w:t xml:space="preserve">becomes more complex </w:t>
            </w:r>
            <w:r>
              <w:rPr>
                <w:lang w:val="en-US"/>
              </w:rPr>
              <w:t xml:space="preserve">and interconnected, </w:t>
            </w:r>
            <w:r w:rsidRPr="0042154C">
              <w:rPr>
                <w:lang w:val="en-US"/>
              </w:rPr>
              <w:t>it is necessary to empower students with a hands-on experience to identify and take advantage of global business opportunities.</w:t>
            </w:r>
          </w:p>
          <w:p w:rsidR="00C42A27" w:rsidRPr="00E750F0" w:rsidRDefault="00E750F0" w:rsidP="00E750F0">
            <w:pPr>
              <w:pStyle w:val="ab"/>
              <w:rPr>
                <w:lang w:val="en-US"/>
              </w:rPr>
            </w:pPr>
            <w:r w:rsidRPr="0042154C">
              <w:rPr>
                <w:lang w:val="en-US"/>
              </w:rPr>
              <w:t>The main goal of the course is to develop skills and competenc</w:t>
            </w:r>
            <w:r>
              <w:rPr>
                <w:lang w:val="en-US"/>
              </w:rPr>
              <w:t>ies</w:t>
            </w:r>
            <w:r w:rsidRPr="0042154C">
              <w:rPr>
                <w:lang w:val="en-US"/>
              </w:rPr>
              <w:t xml:space="preserve"> in the marketing performance of international companies in the modern world.</w:t>
            </w:r>
          </w:p>
        </w:tc>
      </w:tr>
      <w:tr w:rsidR="00C42A27" w:rsidRPr="00967E1E"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E750F0">
            <w:pPr>
              <w:pStyle w:val="ab"/>
              <w:rPr>
                <w:lang w:val="en-US"/>
              </w:rPr>
            </w:pPr>
            <w:r>
              <w:rPr>
                <w:lang w:val="en-US"/>
              </w:rPr>
              <w:t>Intended Learning Outcomes</w:t>
            </w:r>
            <w:r w:rsidR="00D4693C">
              <w:rPr>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750F0" w:rsidRDefault="00E750F0" w:rsidP="00E750F0">
            <w:pPr>
              <w:pStyle w:val="ab"/>
              <w:rPr>
                <w:lang w:val="en-US"/>
              </w:rPr>
            </w:pPr>
            <w:r w:rsidRPr="002B277F">
              <w:rPr>
                <w:lang w:val="en-US"/>
              </w:rPr>
              <w:t>After the course completion, the student is expected to</w:t>
            </w:r>
            <w:r>
              <w:rPr>
                <w:lang w:val="en-US"/>
              </w:rPr>
              <w:t>:</w:t>
            </w:r>
          </w:p>
          <w:p w:rsidR="00E750F0" w:rsidRPr="002806F1" w:rsidRDefault="00E750F0" w:rsidP="00E750F0">
            <w:pPr>
              <w:pStyle w:val="ab"/>
              <w:numPr>
                <w:ilvl w:val="0"/>
                <w:numId w:val="6"/>
              </w:numPr>
              <w:rPr>
                <w:color w:val="000000" w:themeColor="text1"/>
                <w:lang w:val="en-US"/>
              </w:rPr>
            </w:pPr>
            <w:r>
              <w:rPr>
                <w:color w:val="000000" w:themeColor="text1"/>
                <w:lang w:val="en-US"/>
              </w:rPr>
              <w:t>k</w:t>
            </w:r>
            <w:r w:rsidRPr="002806F1">
              <w:rPr>
                <w:color w:val="000000" w:themeColor="text1"/>
                <w:lang w:val="en-US"/>
              </w:rPr>
              <w:t xml:space="preserve">now </w:t>
            </w:r>
            <w:r>
              <w:rPr>
                <w:color w:val="000000" w:themeColor="text1"/>
                <w:lang w:val="en-US"/>
              </w:rPr>
              <w:t xml:space="preserve">key </w:t>
            </w:r>
            <w:r w:rsidRPr="002806F1">
              <w:rPr>
                <w:color w:val="000000" w:themeColor="text1"/>
                <w:lang w:val="en-US"/>
              </w:rPr>
              <w:t>definitions</w:t>
            </w:r>
            <w:r>
              <w:rPr>
                <w:color w:val="000000" w:themeColor="text1"/>
                <w:lang w:val="en-US"/>
              </w:rPr>
              <w:t>,</w:t>
            </w:r>
            <w:r w:rsidRPr="002806F1">
              <w:rPr>
                <w:color w:val="000000" w:themeColor="text1"/>
                <w:lang w:val="en-US"/>
              </w:rPr>
              <w:t xml:space="preserve"> concepts</w:t>
            </w:r>
            <w:r>
              <w:rPr>
                <w:color w:val="000000" w:themeColor="text1"/>
                <w:lang w:val="en-US"/>
              </w:rPr>
              <w:t xml:space="preserve"> and theoretical approaches</w:t>
            </w:r>
            <w:r w:rsidRPr="002806F1">
              <w:rPr>
                <w:color w:val="000000" w:themeColor="text1"/>
                <w:lang w:val="en-US"/>
              </w:rPr>
              <w:t xml:space="preserve"> of international marketing theory</w:t>
            </w:r>
            <w:r>
              <w:rPr>
                <w:color w:val="000000" w:themeColor="text1"/>
                <w:lang w:val="en-US"/>
              </w:rPr>
              <w:t>;</w:t>
            </w:r>
          </w:p>
          <w:p w:rsidR="00E750F0" w:rsidRDefault="00E750F0" w:rsidP="00E750F0">
            <w:pPr>
              <w:pStyle w:val="ab"/>
              <w:numPr>
                <w:ilvl w:val="0"/>
                <w:numId w:val="6"/>
              </w:numPr>
              <w:rPr>
                <w:lang w:val="en-US"/>
              </w:rPr>
            </w:pPr>
            <w:r>
              <w:rPr>
                <w:lang w:val="en-US"/>
              </w:rPr>
              <w:t>be able to</w:t>
            </w:r>
            <w:r w:rsidRPr="00057E00">
              <w:rPr>
                <w:lang w:val="en-US"/>
              </w:rPr>
              <w:t xml:space="preserve"> </w:t>
            </w:r>
            <w:r>
              <w:rPr>
                <w:lang w:val="en-US"/>
              </w:rPr>
              <w:t>develop a marketing plan and ultimately judge</w:t>
            </w:r>
            <w:r w:rsidRPr="00057E00">
              <w:rPr>
                <w:lang w:val="en-US"/>
              </w:rPr>
              <w:t xml:space="preserve"> the success of </w:t>
            </w:r>
            <w:r>
              <w:rPr>
                <w:lang w:val="en-US"/>
              </w:rPr>
              <w:t xml:space="preserve">the </w:t>
            </w:r>
            <w:r w:rsidRPr="00057E00">
              <w:rPr>
                <w:lang w:val="en-US"/>
              </w:rPr>
              <w:t xml:space="preserve">marketing strategy and </w:t>
            </w:r>
            <w:r>
              <w:rPr>
                <w:lang w:val="en-US"/>
              </w:rPr>
              <w:t xml:space="preserve">its </w:t>
            </w:r>
            <w:r w:rsidRPr="00057E00">
              <w:rPr>
                <w:lang w:val="en-US"/>
              </w:rPr>
              <w:t>implementation</w:t>
            </w:r>
            <w:r>
              <w:rPr>
                <w:lang w:val="en-US"/>
              </w:rPr>
              <w:t>;</w:t>
            </w:r>
          </w:p>
          <w:p w:rsidR="00C42A27" w:rsidRPr="00E750F0" w:rsidRDefault="00E750F0" w:rsidP="00E750F0">
            <w:pPr>
              <w:pStyle w:val="ab"/>
              <w:numPr>
                <w:ilvl w:val="0"/>
                <w:numId w:val="6"/>
              </w:numPr>
              <w:rPr>
                <w:lang w:val="en-US"/>
              </w:rPr>
            </w:pPr>
            <w:r>
              <w:rPr>
                <w:lang w:val="en-US"/>
              </w:rPr>
              <w:t xml:space="preserve">be able to </w:t>
            </w:r>
            <w:r w:rsidRPr="00A70296">
              <w:rPr>
                <w:lang w:val="en-US"/>
              </w:rPr>
              <w:t xml:space="preserve">solve managerial problems in the field of international marketing through </w:t>
            </w:r>
            <w:r>
              <w:rPr>
                <w:lang w:val="en-US"/>
              </w:rPr>
              <w:t>case studies</w:t>
            </w:r>
            <w:r w:rsidRPr="00A70296">
              <w:rPr>
                <w:lang w:val="en-US"/>
              </w:rPr>
              <w:t>, with a special focus on marketing challenges related to the operations</w:t>
            </w:r>
            <w:r>
              <w:rPr>
                <w:lang w:val="en-US"/>
              </w:rPr>
              <w:t xml:space="preserve"> of international companies</w:t>
            </w:r>
            <w:r w:rsidRPr="00A70296">
              <w:rPr>
                <w:lang w:val="en-US"/>
              </w:rPr>
              <w:t xml:space="preserve"> in emerging markets</w:t>
            </w:r>
            <w:r w:rsidRPr="00057E00">
              <w:rPr>
                <w:lang w:val="en-US"/>
              </w:rPr>
              <w:t>.</w:t>
            </w:r>
          </w:p>
        </w:tc>
      </w:tr>
      <w:tr w:rsidR="00613D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rsidP="00E750F0">
            <w:pPr>
              <w:pStyle w:val="ab"/>
              <w:rPr>
                <w:lang w:val="en-US"/>
              </w:rPr>
            </w:pPr>
            <w:r>
              <w:rPr>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750F0" w:rsidRPr="005032DA" w:rsidRDefault="00E750F0" w:rsidP="00E750F0">
            <w:pPr>
              <w:pStyle w:val="ab"/>
              <w:numPr>
                <w:ilvl w:val="0"/>
                <w:numId w:val="7"/>
              </w:numPr>
              <w:rPr>
                <w:lang w:val="en-US" w:eastAsia="ru-RU"/>
              </w:rPr>
            </w:pPr>
            <w:r w:rsidRPr="005032DA">
              <w:rPr>
                <w:lang w:val="en-US" w:eastAsia="ru-RU"/>
              </w:rPr>
              <w:t>The Challenge and Scope of International Marketing</w:t>
            </w:r>
          </w:p>
          <w:p w:rsidR="00E750F0" w:rsidRPr="005032DA" w:rsidRDefault="00E750F0" w:rsidP="00E750F0">
            <w:pPr>
              <w:pStyle w:val="ab"/>
              <w:numPr>
                <w:ilvl w:val="0"/>
                <w:numId w:val="7"/>
              </w:numPr>
              <w:rPr>
                <w:lang w:val="en-US" w:eastAsia="ru-RU"/>
              </w:rPr>
            </w:pPr>
            <w:r w:rsidRPr="005032DA">
              <w:rPr>
                <w:lang w:val="en-US" w:eastAsia="ru-RU"/>
              </w:rPr>
              <w:t xml:space="preserve">Global Integration </w:t>
            </w:r>
            <w:r>
              <w:rPr>
                <w:lang w:val="en-US" w:eastAsia="ru-RU"/>
              </w:rPr>
              <w:t>M</w:t>
            </w:r>
            <w:r w:rsidRPr="005032DA">
              <w:rPr>
                <w:lang w:val="en-US" w:eastAsia="ru-RU"/>
              </w:rPr>
              <w:t>arketing Strategies. The Role of Culture in International Marketing</w:t>
            </w:r>
          </w:p>
          <w:p w:rsidR="00E750F0" w:rsidRPr="005032DA" w:rsidRDefault="00E750F0" w:rsidP="00E750F0">
            <w:pPr>
              <w:pStyle w:val="ab"/>
              <w:numPr>
                <w:ilvl w:val="0"/>
                <w:numId w:val="7"/>
              </w:numPr>
              <w:rPr>
                <w:lang w:val="en-US" w:eastAsia="ru-RU"/>
              </w:rPr>
            </w:pPr>
            <w:r>
              <w:rPr>
                <w:lang w:val="en-US" w:eastAsia="ru-RU"/>
              </w:rPr>
              <w:t>Global Branding: Value Creation and the Future of Global Brands</w:t>
            </w:r>
          </w:p>
          <w:p w:rsidR="00E750F0" w:rsidRPr="005032DA" w:rsidRDefault="00E750F0" w:rsidP="00E750F0">
            <w:pPr>
              <w:pStyle w:val="ab"/>
              <w:numPr>
                <w:ilvl w:val="0"/>
                <w:numId w:val="7"/>
              </w:numPr>
              <w:rPr>
                <w:lang w:val="en-US" w:eastAsia="ru-RU"/>
              </w:rPr>
            </w:pPr>
            <w:r>
              <w:rPr>
                <w:lang w:val="en-US" w:eastAsia="ru-RU"/>
              </w:rPr>
              <w:t xml:space="preserve">Market </w:t>
            </w:r>
            <w:r w:rsidRPr="005032DA">
              <w:rPr>
                <w:lang w:val="en-US" w:eastAsia="ru-RU"/>
              </w:rPr>
              <w:t>Entry Strategies</w:t>
            </w:r>
          </w:p>
          <w:p w:rsidR="00E750F0" w:rsidRDefault="00E750F0" w:rsidP="00E750F0">
            <w:pPr>
              <w:pStyle w:val="ab"/>
              <w:numPr>
                <w:ilvl w:val="0"/>
                <w:numId w:val="7"/>
              </w:numPr>
              <w:rPr>
                <w:lang w:val="en-US" w:eastAsia="ru-RU"/>
              </w:rPr>
            </w:pPr>
            <w:r>
              <w:rPr>
                <w:lang w:val="en-US" w:eastAsia="ru-RU"/>
              </w:rPr>
              <w:t>Segmentation, Targeting and Positioning on a Global Scale</w:t>
            </w:r>
          </w:p>
          <w:p w:rsidR="00E750F0" w:rsidRPr="005032DA" w:rsidRDefault="00E750F0" w:rsidP="00E750F0">
            <w:pPr>
              <w:pStyle w:val="ab"/>
              <w:numPr>
                <w:ilvl w:val="0"/>
                <w:numId w:val="7"/>
              </w:numPr>
              <w:rPr>
                <w:lang w:val="en-US" w:eastAsia="ru-RU"/>
              </w:rPr>
            </w:pPr>
            <w:r>
              <w:rPr>
                <w:lang w:val="en-US" w:eastAsia="ru-RU"/>
              </w:rPr>
              <w:t>International Marketing Mix Decisions: Product, Pricing and Distribution</w:t>
            </w:r>
          </w:p>
          <w:p w:rsidR="00E750F0" w:rsidRPr="005032DA" w:rsidRDefault="00E750F0" w:rsidP="00E750F0">
            <w:pPr>
              <w:pStyle w:val="ab"/>
              <w:numPr>
                <w:ilvl w:val="0"/>
                <w:numId w:val="7"/>
              </w:numPr>
              <w:rPr>
                <w:lang w:val="en-US" w:eastAsia="ru-RU"/>
              </w:rPr>
            </w:pPr>
            <w:r>
              <w:rPr>
                <w:lang w:val="en-US" w:eastAsia="ru-RU"/>
              </w:rPr>
              <w:t>International Marketing Mix Decisions: Communications</w:t>
            </w:r>
          </w:p>
          <w:p w:rsidR="00E750F0" w:rsidRPr="005032DA" w:rsidRDefault="00E750F0" w:rsidP="00E750F0">
            <w:pPr>
              <w:pStyle w:val="ab"/>
              <w:numPr>
                <w:ilvl w:val="0"/>
                <w:numId w:val="7"/>
              </w:numPr>
              <w:rPr>
                <w:lang w:val="en-US" w:eastAsia="ru-RU"/>
              </w:rPr>
            </w:pPr>
            <w:r>
              <w:rPr>
                <w:lang w:val="en-US" w:eastAsia="ru-RU"/>
              </w:rPr>
              <w:t>International Branding in the Digital Age</w:t>
            </w:r>
          </w:p>
          <w:p w:rsidR="00E750F0" w:rsidRPr="005032DA" w:rsidRDefault="00E750F0" w:rsidP="00E750F0">
            <w:pPr>
              <w:pStyle w:val="ab"/>
              <w:numPr>
                <w:ilvl w:val="0"/>
                <w:numId w:val="7"/>
              </w:numPr>
              <w:rPr>
                <w:lang w:val="en-US" w:eastAsia="ru-RU"/>
              </w:rPr>
            </w:pPr>
            <w:r>
              <w:rPr>
                <w:lang w:val="en-US" w:eastAsia="ru-RU"/>
              </w:rPr>
              <w:t xml:space="preserve">International </w:t>
            </w:r>
            <w:r w:rsidRPr="005032DA">
              <w:rPr>
                <w:lang w:val="en-US" w:eastAsia="ru-RU"/>
              </w:rPr>
              <w:t>Market Research</w:t>
            </w:r>
          </w:p>
          <w:p w:rsidR="00613DCA" w:rsidRDefault="00E750F0" w:rsidP="00E750F0">
            <w:pPr>
              <w:pStyle w:val="ab"/>
              <w:numPr>
                <w:ilvl w:val="0"/>
                <w:numId w:val="7"/>
              </w:numPr>
              <w:rPr>
                <w:lang w:val="en-US"/>
              </w:rPr>
            </w:pPr>
            <w:r w:rsidRPr="005032DA">
              <w:rPr>
                <w:lang w:val="en-US" w:eastAsia="ru-RU"/>
              </w:rPr>
              <w:t>Marketing Planning</w:t>
            </w:r>
          </w:p>
        </w:tc>
      </w:tr>
      <w:tr w:rsidR="00C42A27" w:rsidRPr="00967E1E"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E750F0">
            <w:pPr>
              <w:pStyle w:val="ab"/>
              <w:rPr>
                <w:lang w:val="en-US"/>
              </w:rPr>
            </w:pPr>
            <w:r>
              <w:rPr>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E750F0" w:rsidP="00E750F0">
            <w:pPr>
              <w:jc w:val="both"/>
              <w:rPr>
                <w:lang w:val="en-US"/>
              </w:rPr>
            </w:pPr>
            <w:r w:rsidRPr="002555DF">
              <w:rPr>
                <w:lang w:val="en-US"/>
              </w:rPr>
              <w:t>Various types of active and interactive forms of training activities, including analysis of practical problems and case studies, teamwork assignments and interactive lectures’ discussions aid and enhance stud</w:t>
            </w:r>
            <w:r>
              <w:rPr>
                <w:lang w:val="en-US"/>
              </w:rPr>
              <w:t>ent learning. The guest lectures</w:t>
            </w:r>
            <w:r w:rsidRPr="002555DF">
              <w:rPr>
                <w:lang w:val="en-US"/>
              </w:rPr>
              <w:t xml:space="preserve"> with representatives of foreign companies in the frames of the course are going to illustrate the international marketing theory and increase students’ competencies.</w:t>
            </w:r>
          </w:p>
        </w:tc>
      </w:tr>
      <w:tr w:rsidR="00C42A27" w:rsidRPr="00967E1E"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E750F0">
            <w:pPr>
              <w:pStyle w:val="ab"/>
              <w:rPr>
                <w:lang w:val="en-US"/>
              </w:rPr>
            </w:pPr>
            <w:r>
              <w:rPr>
                <w:lang w:val="en-US"/>
              </w:rPr>
              <w:lastRenderedPageBreak/>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750F0" w:rsidRPr="000C2E6B" w:rsidRDefault="00E750F0" w:rsidP="00E750F0">
            <w:pPr>
              <w:jc w:val="both"/>
              <w:rPr>
                <w:lang w:val="en-US"/>
              </w:rPr>
            </w:pPr>
            <w:r w:rsidRPr="000C2E6B">
              <w:rPr>
                <w:lang w:val="en-US"/>
              </w:rPr>
              <w:t xml:space="preserve">Overall grades are based on work products that address grade level standards. Grades should reflect student performance during the course implementation. Within each topic grades shall be determined and recorded using forms of home assignment, teamwork, class participation and final exam evaluation table. </w:t>
            </w:r>
          </w:p>
          <w:p w:rsidR="00E750F0" w:rsidRPr="000C2E6B" w:rsidRDefault="00E750F0" w:rsidP="00E750F0">
            <w:pPr>
              <w:jc w:val="both"/>
              <w:rPr>
                <w:lang w:val="en-US"/>
              </w:rPr>
            </w:pPr>
            <w:r w:rsidRPr="000C2E6B">
              <w:rPr>
                <w:lang w:val="en-US"/>
              </w:rPr>
              <w:t>Course grading includes:</w:t>
            </w:r>
          </w:p>
          <w:p w:rsidR="00E750F0" w:rsidRPr="003E657A" w:rsidRDefault="00E750F0" w:rsidP="00E750F0">
            <w:pPr>
              <w:jc w:val="both"/>
              <w:rPr>
                <w:szCs w:val="24"/>
                <w:lang w:val="en-US"/>
              </w:rPr>
            </w:pPr>
            <w:r w:rsidRPr="003E657A">
              <w:rPr>
                <w:szCs w:val="24"/>
                <w:lang w:val="en-US"/>
              </w:rPr>
              <w:t xml:space="preserve">I. Intermediate assessment:  </w:t>
            </w:r>
          </w:p>
          <w:p w:rsidR="00E750F0" w:rsidRPr="003E657A" w:rsidRDefault="00E750F0" w:rsidP="00E750F0">
            <w:pPr>
              <w:pStyle w:val="a1"/>
              <w:numPr>
                <w:ilvl w:val="0"/>
                <w:numId w:val="8"/>
              </w:numPr>
              <w:jc w:val="both"/>
              <w:rPr>
                <w:rFonts w:ascii="Times New Roman" w:hAnsi="Times New Roman"/>
                <w:sz w:val="24"/>
                <w:szCs w:val="24"/>
                <w:lang w:val="en-US"/>
              </w:rPr>
            </w:pPr>
            <w:r w:rsidRPr="00292808">
              <w:rPr>
                <w:b/>
              </w:rPr>
              <w:t>О</w:t>
            </w:r>
            <w:r w:rsidRPr="00292808">
              <w:rPr>
                <w:b/>
                <w:lang w:val="en-US"/>
              </w:rPr>
              <w:t xml:space="preserve"> </w:t>
            </w:r>
            <w:r>
              <w:rPr>
                <w:b/>
                <w:vertAlign w:val="subscript"/>
                <w:lang w:val="en-US"/>
              </w:rPr>
              <w:t xml:space="preserve">quizzes </w:t>
            </w:r>
            <w:r>
              <w:rPr>
                <w:rFonts w:ascii="Times New Roman" w:hAnsi="Times New Roman"/>
                <w:sz w:val="24"/>
                <w:szCs w:val="24"/>
                <w:lang w:val="en-US"/>
              </w:rPr>
              <w:t>- s</w:t>
            </w:r>
            <w:r w:rsidRPr="003E657A">
              <w:rPr>
                <w:rFonts w:ascii="Times New Roman" w:hAnsi="Times New Roman"/>
                <w:sz w:val="24"/>
                <w:szCs w:val="24"/>
                <w:lang w:val="en-US"/>
              </w:rPr>
              <w:t>hort quizzes (20%),</w:t>
            </w:r>
          </w:p>
          <w:p w:rsidR="00E750F0" w:rsidRPr="003E657A" w:rsidRDefault="00E750F0" w:rsidP="00E750F0">
            <w:pPr>
              <w:pStyle w:val="a1"/>
              <w:numPr>
                <w:ilvl w:val="0"/>
                <w:numId w:val="8"/>
              </w:numPr>
              <w:jc w:val="both"/>
              <w:rPr>
                <w:rFonts w:ascii="Times New Roman" w:hAnsi="Times New Roman"/>
                <w:sz w:val="24"/>
                <w:szCs w:val="24"/>
                <w:lang w:val="en-US"/>
              </w:rPr>
            </w:pPr>
            <w:r w:rsidRPr="00292808">
              <w:rPr>
                <w:b/>
              </w:rPr>
              <w:t>О</w:t>
            </w:r>
            <w:r w:rsidRPr="00292808">
              <w:rPr>
                <w:b/>
                <w:lang w:val="en-US"/>
              </w:rPr>
              <w:t xml:space="preserve"> </w:t>
            </w:r>
            <w:r w:rsidRPr="00D46E52">
              <w:rPr>
                <w:b/>
                <w:vertAlign w:val="subscript"/>
                <w:lang w:val="en-US"/>
              </w:rPr>
              <w:t>class</w:t>
            </w:r>
            <w:r>
              <w:rPr>
                <w:b/>
                <w:vertAlign w:val="subscript"/>
                <w:lang w:val="en-US"/>
              </w:rPr>
              <w:t xml:space="preserve"> </w:t>
            </w:r>
            <w:r>
              <w:rPr>
                <w:rFonts w:ascii="Times New Roman" w:hAnsi="Times New Roman"/>
                <w:sz w:val="24"/>
                <w:szCs w:val="24"/>
                <w:lang w:val="en-US"/>
              </w:rPr>
              <w:t>- c</w:t>
            </w:r>
            <w:r w:rsidRPr="003E657A">
              <w:rPr>
                <w:rFonts w:ascii="Times New Roman" w:hAnsi="Times New Roman"/>
                <w:sz w:val="24"/>
                <w:szCs w:val="24"/>
                <w:lang w:val="en-US"/>
              </w:rPr>
              <w:t>lass activities (40%), including individual and group assignments, discussions of cases, intermediate presentations of marketing plans</w:t>
            </w:r>
          </w:p>
          <w:p w:rsidR="00E750F0" w:rsidRPr="003E657A" w:rsidRDefault="00E750F0" w:rsidP="00E750F0">
            <w:pPr>
              <w:pStyle w:val="a1"/>
              <w:numPr>
                <w:ilvl w:val="0"/>
                <w:numId w:val="8"/>
              </w:numPr>
              <w:jc w:val="both"/>
              <w:rPr>
                <w:rFonts w:ascii="Times New Roman" w:hAnsi="Times New Roman"/>
                <w:sz w:val="24"/>
                <w:szCs w:val="24"/>
                <w:lang w:val="en-US"/>
              </w:rPr>
            </w:pPr>
            <w:r w:rsidRPr="00292808">
              <w:rPr>
                <w:b/>
              </w:rPr>
              <w:t>О</w:t>
            </w:r>
            <w:r w:rsidRPr="00292808">
              <w:rPr>
                <w:b/>
                <w:lang w:val="en-US"/>
              </w:rPr>
              <w:t xml:space="preserve"> </w:t>
            </w:r>
            <w:r>
              <w:rPr>
                <w:b/>
                <w:vertAlign w:val="subscript"/>
                <w:lang w:val="en-US"/>
              </w:rPr>
              <w:t>project</w:t>
            </w:r>
            <w:r w:rsidRPr="003E657A">
              <w:rPr>
                <w:rFonts w:ascii="Times New Roman" w:hAnsi="Times New Roman"/>
                <w:sz w:val="24"/>
                <w:szCs w:val="24"/>
                <w:lang w:val="en-US"/>
              </w:rPr>
              <w:t xml:space="preserve"> </w:t>
            </w:r>
            <w:r>
              <w:rPr>
                <w:rFonts w:ascii="Times New Roman" w:hAnsi="Times New Roman"/>
                <w:sz w:val="24"/>
                <w:szCs w:val="24"/>
                <w:lang w:val="en-US"/>
              </w:rPr>
              <w:t>- c</w:t>
            </w:r>
            <w:r w:rsidRPr="003E657A">
              <w:rPr>
                <w:rFonts w:ascii="Times New Roman" w:hAnsi="Times New Roman"/>
                <w:sz w:val="24"/>
                <w:szCs w:val="24"/>
                <w:lang w:val="en-US"/>
              </w:rPr>
              <w:t>ourse project (marketing plan) final presentation (40%)</w:t>
            </w:r>
          </w:p>
          <w:p w:rsidR="00E750F0" w:rsidRPr="00292808" w:rsidRDefault="00E750F0" w:rsidP="00E750F0">
            <w:pPr>
              <w:spacing w:after="240"/>
              <w:jc w:val="center"/>
              <w:rPr>
                <w:b/>
                <w:lang w:val="en-US"/>
              </w:rPr>
            </w:pPr>
            <w:r w:rsidRPr="00292808">
              <w:rPr>
                <w:b/>
              </w:rPr>
              <w:t>О</w:t>
            </w:r>
            <w:r>
              <w:rPr>
                <w:b/>
                <w:lang w:val="en-US"/>
              </w:rPr>
              <w:t xml:space="preserve"> </w:t>
            </w:r>
            <w:proofErr w:type="spellStart"/>
            <w:r w:rsidRPr="00D46E52">
              <w:rPr>
                <w:b/>
                <w:vertAlign w:val="subscript"/>
                <w:lang w:val="en-US"/>
              </w:rPr>
              <w:t>interm</w:t>
            </w:r>
            <w:proofErr w:type="spellEnd"/>
            <w:r w:rsidRPr="00292808">
              <w:rPr>
                <w:b/>
                <w:lang w:val="en-US"/>
              </w:rPr>
              <w:t xml:space="preserve"> = 0,</w:t>
            </w:r>
            <w:r>
              <w:rPr>
                <w:b/>
                <w:lang w:val="en-US"/>
              </w:rPr>
              <w:t>2</w:t>
            </w:r>
            <w:r w:rsidRPr="00292808">
              <w:rPr>
                <w:b/>
                <w:lang w:val="en-US"/>
              </w:rPr>
              <w:t>·</w:t>
            </w:r>
            <w:r w:rsidRPr="00292808">
              <w:rPr>
                <w:b/>
              </w:rPr>
              <w:t>О</w:t>
            </w:r>
            <w:r w:rsidRPr="00292808">
              <w:rPr>
                <w:b/>
                <w:lang w:val="en-US"/>
              </w:rPr>
              <w:t xml:space="preserve"> </w:t>
            </w:r>
            <w:r>
              <w:rPr>
                <w:b/>
                <w:vertAlign w:val="subscript"/>
                <w:lang w:val="en-US"/>
              </w:rPr>
              <w:t xml:space="preserve">quizzes </w:t>
            </w:r>
            <w:r w:rsidRPr="00292808">
              <w:rPr>
                <w:b/>
                <w:lang w:val="en-US"/>
              </w:rPr>
              <w:t>+ 0,</w:t>
            </w:r>
            <w:r>
              <w:rPr>
                <w:b/>
                <w:lang w:val="en-US"/>
              </w:rPr>
              <w:t>4·</w:t>
            </w:r>
            <w:r w:rsidRPr="00292808">
              <w:rPr>
                <w:b/>
              </w:rPr>
              <w:t>О</w:t>
            </w:r>
            <w:r w:rsidRPr="00292808">
              <w:rPr>
                <w:b/>
                <w:lang w:val="en-US"/>
              </w:rPr>
              <w:t xml:space="preserve"> </w:t>
            </w:r>
            <w:r w:rsidRPr="00D46E52">
              <w:rPr>
                <w:b/>
                <w:vertAlign w:val="subscript"/>
                <w:lang w:val="en-US"/>
              </w:rPr>
              <w:t>class</w:t>
            </w:r>
            <w:r>
              <w:rPr>
                <w:b/>
                <w:vertAlign w:val="subscript"/>
                <w:lang w:val="en-US"/>
              </w:rPr>
              <w:t xml:space="preserve"> </w:t>
            </w:r>
            <w:r>
              <w:rPr>
                <w:b/>
                <w:lang w:val="en-US"/>
              </w:rPr>
              <w:t>+ 0,4</w:t>
            </w:r>
            <w:r w:rsidRPr="00292808">
              <w:rPr>
                <w:b/>
                <w:lang w:val="en-US"/>
              </w:rPr>
              <w:t>·</w:t>
            </w:r>
            <w:r w:rsidRPr="00292808">
              <w:rPr>
                <w:b/>
              </w:rPr>
              <w:t>О</w:t>
            </w:r>
            <w:r w:rsidRPr="00292808">
              <w:rPr>
                <w:b/>
                <w:lang w:val="en-US"/>
              </w:rPr>
              <w:t xml:space="preserve"> </w:t>
            </w:r>
            <w:r>
              <w:rPr>
                <w:b/>
                <w:vertAlign w:val="subscript"/>
                <w:lang w:val="en-US"/>
              </w:rPr>
              <w:t>project</w:t>
            </w:r>
          </w:p>
          <w:p w:rsidR="00E750F0" w:rsidRDefault="00E750F0" w:rsidP="00E750F0">
            <w:pPr>
              <w:spacing w:after="240"/>
              <w:jc w:val="both"/>
              <w:rPr>
                <w:lang w:val="en-US"/>
              </w:rPr>
            </w:pPr>
            <w:r w:rsidRPr="000C2E6B">
              <w:rPr>
                <w:lang w:val="en-US"/>
              </w:rPr>
              <w:t>II. Final assessment</w:t>
            </w:r>
            <w:r>
              <w:rPr>
                <w:lang w:val="en-US"/>
              </w:rPr>
              <w:t xml:space="preserve">: </w:t>
            </w:r>
            <w:r w:rsidRPr="000C2E6B">
              <w:rPr>
                <w:lang w:val="en-US"/>
              </w:rPr>
              <w:t>written examination</w:t>
            </w:r>
            <w:r>
              <w:rPr>
                <w:lang w:val="en-US"/>
              </w:rPr>
              <w:t xml:space="preserve"> </w:t>
            </w:r>
            <w:r w:rsidRPr="00D46E52">
              <w:rPr>
                <w:lang w:val="en-US"/>
              </w:rPr>
              <w:t>(40%)</w:t>
            </w:r>
            <w:r>
              <w:rPr>
                <w:lang w:val="en-US"/>
              </w:rPr>
              <w:t xml:space="preserve"> and i</w:t>
            </w:r>
            <w:r w:rsidRPr="002367F5">
              <w:rPr>
                <w:lang w:val="en-US"/>
              </w:rPr>
              <w:t xml:space="preserve">ntermediate assessment </w:t>
            </w:r>
            <w:r>
              <w:rPr>
                <w:lang w:val="en-US"/>
              </w:rPr>
              <w:t>(60%).</w:t>
            </w:r>
          </w:p>
          <w:p w:rsidR="00E750F0" w:rsidRPr="009D1428" w:rsidRDefault="00E750F0" w:rsidP="00E750F0">
            <w:pPr>
              <w:spacing w:after="240"/>
              <w:jc w:val="center"/>
              <w:rPr>
                <w:b/>
                <w:lang w:val="en-US"/>
              </w:rPr>
            </w:pPr>
            <w:r w:rsidRPr="009D1428">
              <w:rPr>
                <w:b/>
              </w:rPr>
              <w:t>О</w:t>
            </w:r>
            <w:r w:rsidRPr="009D1428">
              <w:rPr>
                <w:b/>
                <w:lang w:val="en-US"/>
              </w:rPr>
              <w:t xml:space="preserve"> </w:t>
            </w:r>
            <w:r w:rsidRPr="009D1428">
              <w:rPr>
                <w:b/>
                <w:vertAlign w:val="subscript"/>
                <w:lang w:val="en-US"/>
              </w:rPr>
              <w:t>final</w:t>
            </w:r>
            <w:r w:rsidRPr="009D1428">
              <w:rPr>
                <w:b/>
                <w:lang w:val="en-US"/>
              </w:rPr>
              <w:t xml:space="preserve"> = 0,4·</w:t>
            </w:r>
            <w:r w:rsidRPr="009D1428">
              <w:rPr>
                <w:b/>
              </w:rPr>
              <w:t>О</w:t>
            </w:r>
            <w:r w:rsidRPr="009D1428">
              <w:rPr>
                <w:b/>
                <w:lang w:val="en-US"/>
              </w:rPr>
              <w:t xml:space="preserve"> </w:t>
            </w:r>
            <w:r w:rsidRPr="009D1428">
              <w:rPr>
                <w:b/>
                <w:vertAlign w:val="subscript"/>
                <w:lang w:val="en-US"/>
              </w:rPr>
              <w:t>exam</w:t>
            </w:r>
            <w:r w:rsidRPr="009D1428">
              <w:rPr>
                <w:b/>
                <w:lang w:val="en-US"/>
              </w:rPr>
              <w:t xml:space="preserve"> + 0,6·</w:t>
            </w:r>
            <w:r w:rsidRPr="009D1428">
              <w:rPr>
                <w:b/>
              </w:rPr>
              <w:t>О</w:t>
            </w:r>
            <w:r w:rsidRPr="009D1428">
              <w:rPr>
                <w:b/>
                <w:lang w:val="en-US"/>
              </w:rPr>
              <w:t xml:space="preserve"> </w:t>
            </w:r>
            <w:proofErr w:type="spellStart"/>
            <w:r w:rsidRPr="009D1428">
              <w:rPr>
                <w:b/>
                <w:vertAlign w:val="subscript"/>
                <w:lang w:val="en-US"/>
              </w:rPr>
              <w:t>interm</w:t>
            </w:r>
            <w:proofErr w:type="spellEnd"/>
          </w:p>
          <w:p w:rsidR="00E750F0" w:rsidRDefault="00E750F0" w:rsidP="00E750F0">
            <w:pPr>
              <w:jc w:val="both"/>
              <w:rPr>
                <w:lang w:val="en-US"/>
              </w:rPr>
            </w:pPr>
            <w:r w:rsidRPr="000C2E6B">
              <w:rPr>
                <w:lang w:val="en-US"/>
              </w:rPr>
              <w:t xml:space="preserve">The </w:t>
            </w:r>
            <w:r>
              <w:rPr>
                <w:lang w:val="en-US"/>
              </w:rPr>
              <w:t>final control grade is</w:t>
            </w:r>
            <w:r w:rsidRPr="000C2E6B">
              <w:rPr>
                <w:lang w:val="en-US"/>
              </w:rPr>
              <w:t xml:space="preserve"> rounded to benefit the student.</w:t>
            </w:r>
          </w:p>
          <w:p w:rsidR="00C42A27" w:rsidRDefault="00E750F0" w:rsidP="00E750F0">
            <w:pPr>
              <w:jc w:val="both"/>
              <w:rPr>
                <w:lang w:val="en-US"/>
              </w:rPr>
            </w:pPr>
            <w:r w:rsidRPr="000C2E6B">
              <w:rPr>
                <w:lang w:val="en-US"/>
              </w:rPr>
              <w:t>Final exam will be conducted in writte</w:t>
            </w:r>
            <w:r>
              <w:rPr>
                <w:lang w:val="en-US"/>
              </w:rPr>
              <w:t xml:space="preserve">n form - multiple-choice test. </w:t>
            </w:r>
            <w:r w:rsidRPr="000C2E6B">
              <w:rPr>
                <w:lang w:val="en-US"/>
              </w:rPr>
              <w:t>The test is based upon the material from the lectures and seminars. The test has 40 questions with four possible answers. The</w:t>
            </w:r>
            <w:r>
              <w:rPr>
                <w:lang w:val="en-US"/>
              </w:rPr>
              <w:t xml:space="preserve"> duration of the final test is 8</w:t>
            </w:r>
            <w:r w:rsidRPr="000C2E6B">
              <w:rPr>
                <w:lang w:val="en-US"/>
              </w:rPr>
              <w:t xml:space="preserve">0 minutes. Final control grade will be put in the diploma supplement, which is the resultant assessment of student performance. </w:t>
            </w:r>
          </w:p>
        </w:tc>
      </w:tr>
      <w:tr w:rsidR="00C42A27" w:rsidRPr="00967E1E"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rsidP="00E750F0">
            <w:pPr>
              <w:pStyle w:val="ab"/>
              <w:rPr>
                <w:lang w:val="en-US"/>
              </w:rPr>
            </w:pPr>
            <w:r>
              <w:rPr>
                <w:lang w:val="en-US"/>
              </w:rPr>
              <w:t xml:space="preserve">Readings / </w:t>
            </w:r>
            <w:r w:rsidR="00C42A27">
              <w:rPr>
                <w:lang w:val="en-US"/>
              </w:rPr>
              <w:t>Indicative Learning Resources</w:t>
            </w:r>
          </w:p>
          <w:p w:rsidR="00C42A27" w:rsidRDefault="00C42A27" w:rsidP="00E750F0">
            <w:pPr>
              <w:pStyle w:val="ab"/>
              <w:rPr>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42A27" w:rsidP="00E750F0">
            <w:pPr>
              <w:pStyle w:val="ab"/>
              <w:rPr>
                <w:u w:val="single"/>
              </w:rPr>
            </w:pPr>
            <w:r>
              <w:rPr>
                <w:u w:val="single"/>
                <w:lang w:val="en-US"/>
              </w:rPr>
              <w:t xml:space="preserve">Mandatory </w:t>
            </w:r>
          </w:p>
          <w:p w:rsidR="00E750F0" w:rsidRPr="00495767" w:rsidRDefault="00E750F0" w:rsidP="00E750F0">
            <w:pPr>
              <w:pStyle w:val="a1"/>
              <w:numPr>
                <w:ilvl w:val="0"/>
                <w:numId w:val="9"/>
              </w:numPr>
              <w:rPr>
                <w:rFonts w:ascii="Times New Roman" w:hAnsi="Times New Roman"/>
                <w:sz w:val="24"/>
                <w:szCs w:val="24"/>
                <w:lang w:val="en-US"/>
              </w:rPr>
            </w:pPr>
            <w:r w:rsidRPr="00495767">
              <w:rPr>
                <w:rFonts w:ascii="Times New Roman" w:hAnsi="Times New Roman"/>
                <w:bCs/>
                <w:sz w:val="24"/>
                <w:szCs w:val="24"/>
                <w:lang w:val="en-US"/>
              </w:rPr>
              <w:t xml:space="preserve">Steenkamp, J.-B. (2017). </w:t>
            </w:r>
            <w:r w:rsidRPr="00495767">
              <w:rPr>
                <w:rFonts w:ascii="Times New Roman" w:hAnsi="Times New Roman"/>
                <w:sz w:val="24"/>
                <w:szCs w:val="24"/>
                <w:lang w:val="en-US"/>
              </w:rPr>
              <w:t>Global Brand Strategy</w:t>
            </w:r>
            <w:r w:rsidRPr="00495767">
              <w:rPr>
                <w:rFonts w:ascii="Times New Roman" w:hAnsi="Times New Roman"/>
                <w:bCs/>
                <w:sz w:val="24"/>
                <w:szCs w:val="24"/>
                <w:lang w:val="en-US"/>
              </w:rPr>
              <w:t xml:space="preserve">: World-wise Marketing in the Age of </w:t>
            </w:r>
            <w:r w:rsidRPr="00495767">
              <w:rPr>
                <w:rFonts w:ascii="Times New Roman" w:hAnsi="Times New Roman"/>
                <w:sz w:val="24"/>
                <w:szCs w:val="24"/>
                <w:lang w:val="en-US"/>
              </w:rPr>
              <w:t>Branding</w:t>
            </w:r>
            <w:r w:rsidRPr="00495767">
              <w:rPr>
                <w:rFonts w:ascii="Times New Roman" w:hAnsi="Times New Roman"/>
                <w:bCs/>
                <w:sz w:val="24"/>
                <w:szCs w:val="24"/>
                <w:lang w:val="en-US"/>
              </w:rPr>
              <w:t>.</w:t>
            </w:r>
          </w:p>
          <w:p w:rsidR="00E750F0" w:rsidRPr="00E750F0" w:rsidRDefault="00E750F0" w:rsidP="00E750F0">
            <w:pPr>
              <w:pStyle w:val="a1"/>
              <w:numPr>
                <w:ilvl w:val="0"/>
                <w:numId w:val="9"/>
              </w:numPr>
              <w:rPr>
                <w:lang w:val="en-US"/>
              </w:rPr>
            </w:pPr>
            <w:r w:rsidRPr="00495767">
              <w:rPr>
                <w:rFonts w:ascii="Times New Roman" w:hAnsi="Times New Roman"/>
                <w:sz w:val="24"/>
                <w:szCs w:val="24"/>
                <w:lang w:val="en-US"/>
              </w:rPr>
              <w:t>Hill, Charles W.L. (2014). International Business: Competing in the Global Mark</w:t>
            </w:r>
            <w:r>
              <w:rPr>
                <w:rFonts w:ascii="Times New Roman" w:hAnsi="Times New Roman"/>
                <w:sz w:val="24"/>
                <w:szCs w:val="24"/>
                <w:lang w:val="en-US"/>
              </w:rPr>
              <w:t>etplace</w:t>
            </w:r>
          </w:p>
          <w:p w:rsidR="00C42A27" w:rsidRDefault="00C42A27" w:rsidP="00E750F0">
            <w:pPr>
              <w:rPr>
                <w:u w:val="single"/>
                <w:lang w:val="en-US"/>
              </w:rPr>
            </w:pPr>
            <w:r w:rsidRPr="00E750F0">
              <w:rPr>
                <w:u w:val="single"/>
                <w:lang w:val="en-US"/>
              </w:rPr>
              <w:t xml:space="preserve">Optional </w:t>
            </w:r>
          </w:p>
          <w:p w:rsidR="00E750F0" w:rsidRPr="005E7AEE" w:rsidRDefault="00E750F0" w:rsidP="00E750F0">
            <w:pPr>
              <w:pStyle w:val="a1"/>
              <w:numPr>
                <w:ilvl w:val="0"/>
                <w:numId w:val="10"/>
              </w:numPr>
              <w:spacing w:after="120"/>
              <w:jc w:val="both"/>
              <w:rPr>
                <w:rFonts w:ascii="Times New Roman" w:hAnsi="Times New Roman"/>
                <w:sz w:val="24"/>
                <w:szCs w:val="24"/>
                <w:lang w:val="en-US"/>
              </w:rPr>
            </w:pPr>
            <w:proofErr w:type="spellStart"/>
            <w:r w:rsidRPr="005E7AEE">
              <w:rPr>
                <w:rFonts w:ascii="Times New Roman" w:hAnsi="Times New Roman"/>
                <w:sz w:val="24"/>
                <w:szCs w:val="24"/>
                <w:lang w:val="en-US"/>
              </w:rPr>
              <w:t>Dibb</w:t>
            </w:r>
            <w:proofErr w:type="spellEnd"/>
            <w:r>
              <w:rPr>
                <w:rFonts w:ascii="Times New Roman" w:hAnsi="Times New Roman"/>
                <w:sz w:val="24"/>
                <w:szCs w:val="24"/>
                <w:lang w:val="en-US"/>
              </w:rPr>
              <w:t>, S.,</w:t>
            </w:r>
            <w:r w:rsidRPr="005E7AEE">
              <w:rPr>
                <w:rFonts w:ascii="Times New Roman" w:hAnsi="Times New Roman"/>
                <w:sz w:val="24"/>
                <w:szCs w:val="24"/>
                <w:lang w:val="en-US"/>
              </w:rPr>
              <w:t xml:space="preserve"> </w:t>
            </w:r>
            <w:r>
              <w:rPr>
                <w:rFonts w:ascii="Times New Roman" w:hAnsi="Times New Roman"/>
                <w:sz w:val="24"/>
                <w:szCs w:val="24"/>
                <w:lang w:val="en-US"/>
              </w:rPr>
              <w:t xml:space="preserve">Simkin, L. </w:t>
            </w:r>
            <w:r w:rsidRPr="005E7AEE">
              <w:rPr>
                <w:rFonts w:ascii="Times New Roman" w:hAnsi="Times New Roman"/>
                <w:sz w:val="24"/>
                <w:szCs w:val="24"/>
                <w:lang w:val="en-US"/>
              </w:rPr>
              <w:t>(2010)</w:t>
            </w:r>
            <w:r>
              <w:rPr>
                <w:rFonts w:ascii="Times New Roman" w:hAnsi="Times New Roman"/>
                <w:sz w:val="24"/>
                <w:szCs w:val="24"/>
                <w:lang w:val="en-US"/>
              </w:rPr>
              <w:t>.</w:t>
            </w:r>
            <w:r w:rsidRPr="005E7AEE">
              <w:rPr>
                <w:rFonts w:ascii="Times New Roman" w:hAnsi="Times New Roman"/>
                <w:sz w:val="24"/>
                <w:szCs w:val="24"/>
                <w:lang w:val="en-US"/>
              </w:rPr>
              <w:t xml:space="preserve"> Judging the quality of customer segments: segmentation effectiveness, Journal of Strategic Marketing, 18:2, 113-131, </w:t>
            </w:r>
            <w:r>
              <w:rPr>
                <w:rFonts w:ascii="Times New Roman" w:hAnsi="Times New Roman"/>
                <w:sz w:val="24"/>
                <w:szCs w:val="24"/>
                <w:lang w:val="en-US"/>
              </w:rPr>
              <w:t xml:space="preserve">DOI: 10.1080/09652540903537048 </w:t>
            </w:r>
            <w:r w:rsidRPr="005E7AEE">
              <w:rPr>
                <w:rFonts w:ascii="Times New Roman" w:hAnsi="Times New Roman"/>
                <w:sz w:val="24"/>
                <w:szCs w:val="24"/>
                <w:lang w:val="en-US"/>
              </w:rPr>
              <w:t xml:space="preserve"> </w:t>
            </w:r>
          </w:p>
          <w:p w:rsidR="00E750F0" w:rsidRPr="005E7AEE" w:rsidRDefault="00E750F0" w:rsidP="00E750F0">
            <w:pPr>
              <w:pStyle w:val="a1"/>
              <w:numPr>
                <w:ilvl w:val="0"/>
                <w:numId w:val="10"/>
              </w:numPr>
              <w:jc w:val="both"/>
              <w:rPr>
                <w:rFonts w:ascii="Times New Roman" w:hAnsi="Times New Roman"/>
                <w:sz w:val="24"/>
                <w:szCs w:val="24"/>
                <w:lang w:val="en-US"/>
              </w:rPr>
            </w:pPr>
            <w:proofErr w:type="spellStart"/>
            <w:r w:rsidRPr="005E7AEE">
              <w:rPr>
                <w:rFonts w:ascii="Times New Roman" w:hAnsi="Times New Roman"/>
                <w:bCs/>
                <w:color w:val="222222"/>
                <w:sz w:val="24"/>
                <w:szCs w:val="24"/>
                <w:lang w:val="en-US"/>
              </w:rPr>
              <w:t>F</w:t>
            </w:r>
            <w:r>
              <w:rPr>
                <w:rFonts w:ascii="Times New Roman" w:hAnsi="Times New Roman"/>
                <w:bCs/>
                <w:color w:val="222222"/>
                <w:sz w:val="24"/>
                <w:szCs w:val="24"/>
                <w:lang w:val="en-US"/>
              </w:rPr>
              <w:t>roesen</w:t>
            </w:r>
            <w:proofErr w:type="spellEnd"/>
            <w:r>
              <w:rPr>
                <w:rFonts w:ascii="Times New Roman" w:hAnsi="Times New Roman"/>
                <w:bCs/>
                <w:color w:val="222222"/>
                <w:sz w:val="24"/>
                <w:szCs w:val="24"/>
                <w:lang w:val="en-US"/>
              </w:rPr>
              <w:t>, J</w:t>
            </w:r>
            <w:r w:rsidRPr="005E7AEE">
              <w:rPr>
                <w:rFonts w:ascii="Times New Roman" w:hAnsi="Times New Roman"/>
                <w:bCs/>
                <w:color w:val="222222"/>
                <w:sz w:val="24"/>
                <w:szCs w:val="24"/>
                <w:lang w:val="en-US"/>
              </w:rPr>
              <w:t xml:space="preserve">., Laukkanen, M. (2016). Reviving heritage brands – the case of </w:t>
            </w:r>
            <w:proofErr w:type="spellStart"/>
            <w:r w:rsidRPr="005E7AEE">
              <w:rPr>
                <w:rFonts w:ascii="Times New Roman" w:hAnsi="Times New Roman"/>
                <w:bCs/>
                <w:color w:val="222222"/>
                <w:sz w:val="24"/>
                <w:szCs w:val="24"/>
                <w:lang w:val="en-US"/>
              </w:rPr>
              <w:t>Petrodvorets</w:t>
            </w:r>
            <w:proofErr w:type="spellEnd"/>
            <w:r w:rsidRPr="005E7AEE">
              <w:rPr>
                <w:rFonts w:ascii="Times New Roman" w:hAnsi="Times New Roman"/>
                <w:bCs/>
                <w:color w:val="222222"/>
                <w:sz w:val="24"/>
                <w:szCs w:val="24"/>
                <w:lang w:val="en-US"/>
              </w:rPr>
              <w:t xml:space="preserve"> Watch Factory. Emerald emerging markets case studies, vol. 6 no 1, pp.</w:t>
            </w:r>
            <w:r>
              <w:rPr>
                <w:rFonts w:ascii="Times New Roman" w:hAnsi="Times New Roman"/>
                <w:bCs/>
                <w:color w:val="222222"/>
                <w:sz w:val="24"/>
                <w:szCs w:val="24"/>
                <w:lang w:val="en-US"/>
              </w:rPr>
              <w:t xml:space="preserve"> </w:t>
            </w:r>
            <w:r w:rsidRPr="005E7AEE">
              <w:rPr>
                <w:rFonts w:ascii="Times New Roman" w:hAnsi="Times New Roman"/>
                <w:bCs/>
                <w:color w:val="222222"/>
                <w:sz w:val="24"/>
                <w:szCs w:val="24"/>
                <w:lang w:val="en-US"/>
              </w:rPr>
              <w:t>1-18</w:t>
            </w:r>
          </w:p>
          <w:p w:rsidR="00E750F0" w:rsidRPr="005E7AEE" w:rsidRDefault="00E750F0" w:rsidP="00E750F0">
            <w:pPr>
              <w:pStyle w:val="a1"/>
              <w:numPr>
                <w:ilvl w:val="0"/>
                <w:numId w:val="10"/>
              </w:numPr>
              <w:spacing w:after="120"/>
              <w:jc w:val="both"/>
              <w:rPr>
                <w:rFonts w:ascii="Times New Roman" w:hAnsi="Times New Roman"/>
                <w:sz w:val="24"/>
                <w:szCs w:val="24"/>
                <w:lang w:val="en-US"/>
              </w:rPr>
            </w:pPr>
            <w:r w:rsidRPr="005E7AEE">
              <w:rPr>
                <w:rFonts w:ascii="Times New Roman" w:hAnsi="Times New Roman"/>
                <w:sz w:val="24"/>
                <w:szCs w:val="24"/>
                <w:lang w:val="en-US"/>
              </w:rPr>
              <w:t>Hong Bo</w:t>
            </w:r>
            <w:r>
              <w:rPr>
                <w:rFonts w:ascii="Times New Roman" w:hAnsi="Times New Roman"/>
                <w:sz w:val="24"/>
                <w:szCs w:val="24"/>
                <w:lang w:val="en-US"/>
              </w:rPr>
              <w:t>,</w:t>
            </w:r>
            <w:r w:rsidRPr="005E7AEE">
              <w:rPr>
                <w:rFonts w:ascii="Times New Roman" w:hAnsi="Times New Roman"/>
                <w:sz w:val="24"/>
                <w:szCs w:val="24"/>
                <w:lang w:val="en-US"/>
              </w:rPr>
              <w:t xml:space="preserve"> Liu Breda</w:t>
            </w:r>
            <w:r>
              <w:rPr>
                <w:rFonts w:ascii="Times New Roman" w:hAnsi="Times New Roman"/>
                <w:sz w:val="24"/>
                <w:szCs w:val="24"/>
                <w:lang w:val="en-US"/>
              </w:rPr>
              <w:t>,</w:t>
            </w:r>
            <w:r w:rsidRPr="005E7AEE">
              <w:rPr>
                <w:rFonts w:ascii="Times New Roman" w:hAnsi="Times New Roman"/>
                <w:sz w:val="24"/>
                <w:szCs w:val="24"/>
                <w:lang w:val="en-US"/>
              </w:rPr>
              <w:t xml:space="preserve"> McCarthy </w:t>
            </w:r>
            <w:proofErr w:type="spellStart"/>
            <w:r w:rsidRPr="005E7AEE">
              <w:rPr>
                <w:rFonts w:ascii="Times New Roman" w:hAnsi="Times New Roman"/>
                <w:sz w:val="24"/>
                <w:szCs w:val="24"/>
                <w:lang w:val="en-US"/>
              </w:rPr>
              <w:t>Tingzhen</w:t>
            </w:r>
            <w:proofErr w:type="spellEnd"/>
            <w:r>
              <w:rPr>
                <w:rFonts w:ascii="Times New Roman" w:hAnsi="Times New Roman"/>
                <w:sz w:val="24"/>
                <w:szCs w:val="24"/>
                <w:lang w:val="en-US"/>
              </w:rPr>
              <w:t>,</w:t>
            </w:r>
            <w:r w:rsidRPr="005E7AEE">
              <w:rPr>
                <w:rFonts w:ascii="Times New Roman" w:hAnsi="Times New Roman"/>
                <w:sz w:val="24"/>
                <w:szCs w:val="24"/>
                <w:lang w:val="en-US"/>
              </w:rPr>
              <w:t xml:space="preserve"> Chen Shu</w:t>
            </w:r>
            <w:r>
              <w:rPr>
                <w:rFonts w:ascii="Times New Roman" w:hAnsi="Times New Roman"/>
                <w:sz w:val="24"/>
                <w:szCs w:val="24"/>
                <w:lang w:val="en-US"/>
              </w:rPr>
              <w:t>,</w:t>
            </w:r>
            <w:r w:rsidRPr="005E7AEE">
              <w:rPr>
                <w:rFonts w:ascii="Times New Roman" w:hAnsi="Times New Roman"/>
                <w:sz w:val="24"/>
                <w:szCs w:val="24"/>
                <w:lang w:val="en-US"/>
              </w:rPr>
              <w:t xml:space="preserve"> Guo </w:t>
            </w:r>
            <w:proofErr w:type="spellStart"/>
            <w:r w:rsidRPr="005E7AEE">
              <w:rPr>
                <w:rFonts w:ascii="Times New Roman" w:hAnsi="Times New Roman"/>
                <w:sz w:val="24"/>
                <w:szCs w:val="24"/>
                <w:lang w:val="en-US"/>
              </w:rPr>
              <w:t>Xuguang</w:t>
            </w:r>
            <w:proofErr w:type="spellEnd"/>
            <w:r w:rsidRPr="005E7AEE">
              <w:rPr>
                <w:rFonts w:ascii="Times New Roman" w:hAnsi="Times New Roman"/>
                <w:sz w:val="24"/>
                <w:szCs w:val="24"/>
                <w:lang w:val="en-US"/>
              </w:rPr>
              <w:t xml:space="preserve"> Song, (2014),"The Chinese wine market: a market segmentation study", Asia Pacific Journal of Marketing and </w:t>
            </w:r>
            <w:r w:rsidRPr="005E7AEE">
              <w:rPr>
                <w:rFonts w:ascii="Times New Roman" w:hAnsi="Times New Roman"/>
                <w:sz w:val="24"/>
                <w:szCs w:val="24"/>
                <w:lang w:val="en-US"/>
              </w:rPr>
              <w:lastRenderedPageBreak/>
              <w:t xml:space="preserve">Logistics, Vol. 26 </w:t>
            </w:r>
            <w:proofErr w:type="spellStart"/>
            <w:r w:rsidRPr="005E7AEE">
              <w:rPr>
                <w:rFonts w:ascii="Times New Roman" w:hAnsi="Times New Roman"/>
                <w:sz w:val="24"/>
                <w:szCs w:val="24"/>
                <w:lang w:val="en-US"/>
              </w:rPr>
              <w:t>Iss</w:t>
            </w:r>
            <w:proofErr w:type="spellEnd"/>
            <w:r w:rsidRPr="005E7AEE">
              <w:rPr>
                <w:rFonts w:ascii="Times New Roman" w:hAnsi="Times New Roman"/>
                <w:sz w:val="24"/>
                <w:szCs w:val="24"/>
                <w:lang w:val="en-US"/>
              </w:rPr>
              <w:t xml:space="preserve"> 3 pp. 450 - 471 Permanent link to this document: </w:t>
            </w:r>
            <w:hyperlink r:id="rId8" w:history="1">
              <w:r w:rsidRPr="005E7AEE">
                <w:rPr>
                  <w:rStyle w:val="ac"/>
                  <w:rFonts w:ascii="Times New Roman" w:hAnsi="Times New Roman"/>
                  <w:sz w:val="24"/>
                  <w:szCs w:val="24"/>
                  <w:lang w:val="en-US"/>
                </w:rPr>
                <w:t>http://dx.doi.org/10.1108/APJML-07-2013-0089</w:t>
              </w:r>
            </w:hyperlink>
            <w:r w:rsidRPr="005E7AEE">
              <w:rPr>
                <w:rFonts w:ascii="Times New Roman" w:hAnsi="Times New Roman"/>
                <w:sz w:val="24"/>
                <w:szCs w:val="24"/>
                <w:lang w:val="en-US"/>
              </w:rPr>
              <w:t xml:space="preserve">. </w:t>
            </w:r>
          </w:p>
          <w:p w:rsidR="00E750F0" w:rsidRPr="00E750F0" w:rsidRDefault="00E750F0" w:rsidP="00E750F0">
            <w:pPr>
              <w:pStyle w:val="a1"/>
              <w:numPr>
                <w:ilvl w:val="0"/>
                <w:numId w:val="10"/>
              </w:numPr>
              <w:rPr>
                <w:rFonts w:ascii="Times New Roman" w:hAnsi="Times New Roman"/>
                <w:sz w:val="24"/>
                <w:szCs w:val="24"/>
                <w:lang w:val="en-US"/>
              </w:rPr>
            </w:pPr>
            <w:proofErr w:type="spellStart"/>
            <w:r w:rsidRPr="00C258B6">
              <w:rPr>
                <w:rFonts w:ascii="Times New Roman" w:hAnsi="Times New Roman"/>
                <w:sz w:val="24"/>
                <w:szCs w:val="24"/>
                <w:lang w:val="en-US"/>
              </w:rPr>
              <w:t>Jobanputra</w:t>
            </w:r>
            <w:proofErr w:type="spellEnd"/>
            <w:r w:rsidRPr="00C258B6">
              <w:rPr>
                <w:rFonts w:ascii="Times New Roman" w:hAnsi="Times New Roman"/>
                <w:sz w:val="24"/>
                <w:szCs w:val="24"/>
                <w:lang w:val="en-US"/>
              </w:rPr>
              <w:t>, Kuldeep H</w:t>
            </w:r>
            <w:r>
              <w:rPr>
                <w:rFonts w:ascii="Times New Roman" w:hAnsi="Times New Roman"/>
                <w:sz w:val="24"/>
                <w:szCs w:val="24"/>
                <w:lang w:val="en-US"/>
              </w:rPr>
              <w:t xml:space="preserve">. (2009). </w:t>
            </w:r>
            <w:bookmarkStart w:id="1" w:name="citation"/>
            <w:r w:rsidRPr="00C258B6">
              <w:rPr>
                <w:rFonts w:ascii="Times New Roman" w:hAnsi="Times New Roman"/>
                <w:sz w:val="24"/>
                <w:szCs w:val="24"/>
                <w:lang w:val="en-US"/>
              </w:rPr>
              <w:t>Global Marketing and Consumer Decision Making</w:t>
            </w:r>
            <w:bookmarkEnd w:id="1"/>
            <w:r>
              <w:rPr>
                <w:rFonts w:ascii="Times New Roman" w:hAnsi="Times New Roman"/>
                <w:sz w:val="24"/>
                <w:szCs w:val="24"/>
                <w:lang w:val="en-US"/>
              </w:rPr>
              <w:t xml:space="preserve">. </w:t>
            </w:r>
            <w:r w:rsidRPr="00C258B6">
              <w:rPr>
                <w:rFonts w:ascii="Times New Roman" w:hAnsi="Times New Roman"/>
                <w:sz w:val="24"/>
                <w:szCs w:val="24"/>
                <w:lang w:val="en-US"/>
              </w:rPr>
              <w:t>Paradise Publishers</w:t>
            </w:r>
            <w:r>
              <w:rPr>
                <w:rFonts w:ascii="Times New Roman" w:hAnsi="Times New Roman"/>
                <w:sz w:val="24"/>
                <w:szCs w:val="24"/>
                <w:lang w:val="en-US"/>
              </w:rPr>
              <w:t xml:space="preserve">. </w:t>
            </w:r>
            <w:hyperlink r:id="rId9" w:history="1">
              <w:r w:rsidRPr="00A542DB">
                <w:rPr>
                  <w:rStyle w:val="ac"/>
                  <w:rFonts w:ascii="Times New Roman" w:hAnsi="Times New Roman"/>
                  <w:sz w:val="24"/>
                  <w:szCs w:val="24"/>
                  <w:lang w:val="en-US"/>
                </w:rPr>
                <w:t>http://site.ebrary.com/lib/hselibrary/detail.action?docID=10415814</w:t>
              </w:r>
            </w:hyperlink>
          </w:p>
        </w:tc>
      </w:tr>
      <w:tr w:rsid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E750F0">
            <w:pPr>
              <w:pStyle w:val="ab"/>
              <w:rPr>
                <w:lang w:val="en-US"/>
              </w:rPr>
            </w:pPr>
            <w:r>
              <w:rPr>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E750F0" w:rsidP="00E750F0">
            <w:pPr>
              <w:pStyle w:val="ab"/>
              <w:rPr>
                <w:lang w:val="en-US"/>
              </w:rPr>
            </w:pPr>
            <w:r>
              <w:rPr>
                <w:lang w:val="en-US"/>
              </w:rPr>
              <w:t xml:space="preserve">Tatiana Yu. </w:t>
            </w:r>
            <w:proofErr w:type="spellStart"/>
            <w:r>
              <w:rPr>
                <w:lang w:val="en-US"/>
              </w:rPr>
              <w:t>Grishchenko</w:t>
            </w:r>
            <w:proofErr w:type="spellEnd"/>
          </w:p>
        </w:tc>
      </w:tr>
    </w:tbl>
    <w:p w:rsidR="00D4693C" w:rsidRDefault="00D4693C" w:rsidP="00D4693C">
      <w:pPr>
        <w:spacing w:after="0" w:line="240" w:lineRule="auto"/>
        <w:jc w:val="both"/>
        <w:rPr>
          <w:rFonts w:ascii="Times New Roman" w:hAnsi="Times New Roman"/>
          <w:sz w:val="24"/>
          <w:lang w:val="en-US"/>
        </w:rPr>
      </w:pPr>
    </w:p>
    <w:p w:rsidR="00E750F0" w:rsidRDefault="00E750F0" w:rsidP="00D4693C">
      <w:pPr>
        <w:spacing w:after="0" w:line="240" w:lineRule="auto"/>
        <w:jc w:val="both"/>
        <w:rPr>
          <w:rFonts w:ascii="Times New Roman" w:hAnsi="Times New Roman"/>
          <w:sz w:val="24"/>
          <w:lang w:val="en-US"/>
        </w:rPr>
      </w:pPr>
    </w:p>
    <w:p w:rsidR="00E750F0" w:rsidRPr="00D4693C" w:rsidRDefault="00E750F0" w:rsidP="00D4693C">
      <w:pPr>
        <w:spacing w:after="0" w:line="240" w:lineRule="auto"/>
        <w:jc w:val="both"/>
        <w:rPr>
          <w:rFonts w:ascii="Times New Roman" w:hAnsi="Times New Roman"/>
          <w:sz w:val="24"/>
          <w:lang w:val="en-US"/>
        </w:rPr>
      </w:pPr>
    </w:p>
    <w:sectPr w:rsidR="00E750F0"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B3C" w:rsidRDefault="00772B3C" w:rsidP="00F31F02">
      <w:pPr>
        <w:spacing w:after="0" w:line="240" w:lineRule="auto"/>
      </w:pPr>
      <w:r>
        <w:separator/>
      </w:r>
    </w:p>
  </w:endnote>
  <w:endnote w:type="continuationSeparator" w:id="0">
    <w:p w:rsidR="00772B3C" w:rsidRDefault="00772B3C"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B3C" w:rsidRDefault="00772B3C" w:rsidP="00F31F02">
      <w:pPr>
        <w:spacing w:after="0" w:line="240" w:lineRule="auto"/>
      </w:pPr>
      <w:r>
        <w:separator/>
      </w:r>
    </w:p>
  </w:footnote>
  <w:footnote w:type="continuationSeparator" w:id="0">
    <w:p w:rsidR="00772B3C" w:rsidRDefault="00772B3C" w:rsidP="00F3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B7F23"/>
    <w:multiLevelType w:val="hybridMultilevel"/>
    <w:tmpl w:val="028C2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824519"/>
    <w:multiLevelType w:val="hybridMultilevel"/>
    <w:tmpl w:val="0E40F2DE"/>
    <w:lvl w:ilvl="0" w:tplc="D29C2E52">
      <w:numFmt w:val="bullet"/>
      <w:lvlText w:val="•"/>
      <w:lvlJc w:val="left"/>
      <w:pPr>
        <w:ind w:left="1068" w:hanging="708"/>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A0846"/>
    <w:multiLevelType w:val="hybridMultilevel"/>
    <w:tmpl w:val="1134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0E456FA"/>
    <w:multiLevelType w:val="hybridMultilevel"/>
    <w:tmpl w:val="669E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570D4"/>
    <w:multiLevelType w:val="hybridMultilevel"/>
    <w:tmpl w:val="7728A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7" w15:restartNumberingAfterBreak="0">
    <w:nsid w:val="6BC81CD1"/>
    <w:multiLevelType w:val="hybridMultilevel"/>
    <w:tmpl w:val="54F49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3"/>
  </w:num>
  <w:num w:numId="5">
    <w:abstractNumId w:val="0"/>
  </w:num>
  <w:num w:numId="6">
    <w:abstractNumId w:val="2"/>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A27"/>
    <w:rsid w:val="00016FD6"/>
    <w:rsid w:val="00037860"/>
    <w:rsid w:val="001269F5"/>
    <w:rsid w:val="00227878"/>
    <w:rsid w:val="002376BB"/>
    <w:rsid w:val="0033665B"/>
    <w:rsid w:val="00350F7A"/>
    <w:rsid w:val="00360ED6"/>
    <w:rsid w:val="004076D0"/>
    <w:rsid w:val="0043263A"/>
    <w:rsid w:val="004621E2"/>
    <w:rsid w:val="004B1D7A"/>
    <w:rsid w:val="004C2A10"/>
    <w:rsid w:val="004E303F"/>
    <w:rsid w:val="00544E4C"/>
    <w:rsid w:val="00554AD8"/>
    <w:rsid w:val="0057785A"/>
    <w:rsid w:val="00581152"/>
    <w:rsid w:val="00613DCA"/>
    <w:rsid w:val="00644510"/>
    <w:rsid w:val="006A0D74"/>
    <w:rsid w:val="006F1B3F"/>
    <w:rsid w:val="00772B3C"/>
    <w:rsid w:val="007A2171"/>
    <w:rsid w:val="008B5525"/>
    <w:rsid w:val="0090748D"/>
    <w:rsid w:val="00925F7A"/>
    <w:rsid w:val="00967E1E"/>
    <w:rsid w:val="00B5254A"/>
    <w:rsid w:val="00BB4B6F"/>
    <w:rsid w:val="00BF5637"/>
    <w:rsid w:val="00C156BF"/>
    <w:rsid w:val="00C16A51"/>
    <w:rsid w:val="00C42A27"/>
    <w:rsid w:val="00D4693C"/>
    <w:rsid w:val="00D640A5"/>
    <w:rsid w:val="00D85442"/>
    <w:rsid w:val="00D95D7E"/>
    <w:rsid w:val="00DB57AC"/>
    <w:rsid w:val="00DD541D"/>
    <w:rsid w:val="00E013D3"/>
    <w:rsid w:val="00E750F0"/>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5567"/>
  <w15:docId w15:val="{B7F7F292-81BE-4175-B908-584B874C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paragraph" w:styleId="a5">
    <w:name w:val="footnote text"/>
    <w:basedOn w:val="a0"/>
    <w:link w:val="a6"/>
    <w:uiPriority w:val="99"/>
    <w:semiHidden/>
    <w:unhideWhenUsed/>
    <w:rsid w:val="00F31F02"/>
    <w:pPr>
      <w:spacing w:after="0" w:line="240" w:lineRule="auto"/>
    </w:pPr>
    <w:rPr>
      <w:sz w:val="20"/>
      <w:szCs w:val="20"/>
    </w:rPr>
  </w:style>
  <w:style w:type="character" w:customStyle="1" w:styleId="a6">
    <w:name w:val="Текст сноски Знак"/>
    <w:basedOn w:val="a2"/>
    <w:link w:val="a5"/>
    <w:uiPriority w:val="99"/>
    <w:semiHidden/>
    <w:rsid w:val="00F31F02"/>
    <w:rPr>
      <w:rFonts w:ascii="Calibri" w:eastAsia="Calibri" w:hAnsi="Calibri" w:cs="Times New Roman"/>
      <w:sz w:val="20"/>
      <w:szCs w:val="20"/>
    </w:rPr>
  </w:style>
  <w:style w:type="character" w:styleId="a7">
    <w:name w:val="footnote reference"/>
    <w:basedOn w:val="a2"/>
    <w:uiPriority w:val="99"/>
    <w:semiHidden/>
    <w:unhideWhenUsed/>
    <w:rsid w:val="00F31F02"/>
    <w:rPr>
      <w:vertAlign w:val="superscript"/>
    </w:rPr>
  </w:style>
  <w:style w:type="table" w:styleId="a8">
    <w:name w:val="Table Grid"/>
    <w:basedOn w:val="a3"/>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6F1B3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6F1B3F"/>
    <w:rPr>
      <w:rFonts w:ascii="Segoe UI" w:eastAsia="Calibri" w:hAnsi="Segoe UI" w:cs="Segoe UI"/>
      <w:sz w:val="18"/>
      <w:szCs w:val="18"/>
    </w:rPr>
  </w:style>
  <w:style w:type="paragraph" w:customStyle="1" w:styleId="a">
    <w:name w:val="Маркированный."/>
    <w:basedOn w:val="a0"/>
    <w:rsid w:val="00E750F0"/>
    <w:pPr>
      <w:numPr>
        <w:numId w:val="4"/>
      </w:numPr>
      <w:spacing w:after="0" w:line="240" w:lineRule="auto"/>
    </w:pPr>
    <w:rPr>
      <w:rFonts w:ascii="Times New Roman" w:hAnsi="Times New Roman"/>
      <w:sz w:val="24"/>
    </w:rPr>
  </w:style>
  <w:style w:type="paragraph" w:styleId="ab">
    <w:name w:val="No Spacing"/>
    <w:uiPriority w:val="1"/>
    <w:qFormat/>
    <w:rsid w:val="00E750F0"/>
    <w:pPr>
      <w:spacing w:after="0" w:line="240" w:lineRule="auto"/>
    </w:pPr>
    <w:rPr>
      <w:rFonts w:ascii="Calibri" w:eastAsia="Calibri" w:hAnsi="Calibri" w:cs="Times New Roman"/>
    </w:rPr>
  </w:style>
  <w:style w:type="character" w:styleId="ac">
    <w:name w:val="Hyperlink"/>
    <w:uiPriority w:val="99"/>
    <w:unhideWhenUsed/>
    <w:rsid w:val="00E75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8/APJML-07-2013-00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e.ebrary.com/lib/hselibrary/detail.action?docID=10415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6A09-4EF8-45E5-9422-5A509335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Jeffrey Dale Downing</cp:lastModifiedBy>
  <cp:revision>6</cp:revision>
  <cp:lastPrinted>2018-03-13T09:40:00Z</cp:lastPrinted>
  <dcterms:created xsi:type="dcterms:W3CDTF">2018-04-06T11:30:00Z</dcterms:created>
  <dcterms:modified xsi:type="dcterms:W3CDTF">2019-03-07T12:19:00Z</dcterms:modified>
</cp:coreProperties>
</file>