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2A27" w:rsidRDefault="00C42A27" w:rsidP="00C42A27">
      <w:pPr>
        <w:spacing w:after="0" w:line="240" w:lineRule="auto"/>
        <w:jc w:val="center"/>
        <w:rPr>
          <w:rFonts w:ascii="Times New Roman" w:eastAsiaTheme="minorHAnsi" w:hAnsi="Times New Roman"/>
          <w:b/>
          <w:sz w:val="24"/>
          <w:szCs w:val="24"/>
          <w:lang w:val="en-US"/>
        </w:rPr>
      </w:pPr>
      <w:r>
        <w:rPr>
          <w:rFonts w:ascii="Times New Roman" w:eastAsiaTheme="minorHAnsi" w:hAnsi="Times New Roman"/>
          <w:b/>
          <w:sz w:val="24"/>
          <w:szCs w:val="24"/>
          <w:lang w:val="en-US"/>
        </w:rPr>
        <w:t>Course descriptor</w:t>
      </w:r>
    </w:p>
    <w:p w:rsidR="007A2171" w:rsidRPr="00C165CA" w:rsidRDefault="007A2171" w:rsidP="001269F5">
      <w:pPr>
        <w:spacing w:after="0" w:line="240" w:lineRule="auto"/>
        <w:jc w:val="both"/>
        <w:rPr>
          <w:rFonts w:ascii="Times New Roman" w:hAnsi="Times New Roman"/>
          <w:sz w:val="24"/>
          <w:lang w:val="en-US"/>
        </w:rPr>
      </w:pPr>
    </w:p>
    <w:tbl>
      <w:tblPr>
        <w:tblW w:w="11164" w:type="dxa"/>
        <w:tblInd w:w="-12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5"/>
        <w:gridCol w:w="3260"/>
        <w:gridCol w:w="2977"/>
        <w:gridCol w:w="2942"/>
      </w:tblGrid>
      <w:tr w:rsidR="00F72FB8" w:rsidRPr="00726371" w:rsidTr="00360B79">
        <w:tc>
          <w:tcPr>
            <w:tcW w:w="1985" w:type="dxa"/>
            <w:shd w:val="clear" w:color="auto" w:fill="92CDDC" w:themeFill="accent5" w:themeFillTint="99"/>
            <w:tcMar>
              <w:top w:w="57" w:type="dxa"/>
              <w:left w:w="57" w:type="dxa"/>
              <w:bottom w:w="57" w:type="dxa"/>
              <w:right w:w="57" w:type="dxa"/>
            </w:tcMar>
          </w:tcPr>
          <w:p w:rsidR="00F72FB8" w:rsidRPr="00360B79" w:rsidRDefault="00F72FB8" w:rsidP="00A008A2">
            <w:pPr>
              <w:spacing w:after="0" w:line="240" w:lineRule="auto"/>
              <w:rPr>
                <w:rFonts w:ascii="Times New Roman" w:eastAsiaTheme="minorHAnsi" w:hAnsi="Times New Roman"/>
                <w:sz w:val="20"/>
                <w:szCs w:val="24"/>
                <w:lang w:val="en-US"/>
              </w:rPr>
            </w:pPr>
            <w:r w:rsidRPr="00360B79">
              <w:rPr>
                <w:rFonts w:ascii="Times New Roman" w:eastAsiaTheme="minorHAnsi" w:hAnsi="Times New Roman"/>
                <w:sz w:val="20"/>
                <w:szCs w:val="24"/>
                <w:lang w:val="en-US"/>
              </w:rPr>
              <w:t>Title of the course</w:t>
            </w:r>
          </w:p>
        </w:tc>
        <w:tc>
          <w:tcPr>
            <w:tcW w:w="9179" w:type="dxa"/>
            <w:gridSpan w:val="3"/>
            <w:shd w:val="clear" w:color="auto" w:fill="92CDDC" w:themeFill="accent5" w:themeFillTint="99"/>
            <w:tcMar>
              <w:top w:w="57" w:type="dxa"/>
              <w:left w:w="57" w:type="dxa"/>
              <w:bottom w:w="57" w:type="dxa"/>
              <w:right w:w="57" w:type="dxa"/>
            </w:tcMar>
          </w:tcPr>
          <w:p w:rsidR="00F72FB8" w:rsidRPr="00360B79" w:rsidRDefault="00FF08DA" w:rsidP="00FF08DA">
            <w:pPr>
              <w:tabs>
                <w:tab w:val="left" w:pos="1776"/>
              </w:tabs>
              <w:spacing w:after="0" w:line="240" w:lineRule="auto"/>
              <w:rPr>
                <w:rFonts w:ascii="Times New Roman" w:eastAsiaTheme="minorHAnsi" w:hAnsi="Times New Roman"/>
                <w:b/>
                <w:sz w:val="20"/>
                <w:szCs w:val="24"/>
                <w:lang w:val="en-US"/>
              </w:rPr>
            </w:pPr>
            <w:r w:rsidRPr="00360B79">
              <w:rPr>
                <w:rFonts w:ascii="Times New Roman" w:eastAsiaTheme="minorHAnsi" w:hAnsi="Times New Roman"/>
                <w:b/>
                <w:sz w:val="20"/>
                <w:szCs w:val="24"/>
                <w:lang w:val="en-US"/>
              </w:rPr>
              <w:t>History of Arctic and Baltic Region</w:t>
            </w:r>
          </w:p>
        </w:tc>
      </w:tr>
      <w:tr w:rsidR="00F72FB8" w:rsidRPr="00360B79" w:rsidTr="00360B79">
        <w:tc>
          <w:tcPr>
            <w:tcW w:w="1985" w:type="dxa"/>
            <w:shd w:val="clear" w:color="auto" w:fill="92CDDC" w:themeFill="accent5" w:themeFillTint="99"/>
            <w:tcMar>
              <w:top w:w="57" w:type="dxa"/>
              <w:left w:w="57" w:type="dxa"/>
              <w:bottom w:w="57" w:type="dxa"/>
              <w:right w:w="57" w:type="dxa"/>
            </w:tcMar>
          </w:tcPr>
          <w:p w:rsidR="00F72FB8" w:rsidRPr="00360B79" w:rsidRDefault="00F72FB8" w:rsidP="00A008A2">
            <w:pPr>
              <w:spacing w:after="0" w:line="240" w:lineRule="auto"/>
              <w:rPr>
                <w:rFonts w:ascii="Times New Roman" w:eastAsiaTheme="minorHAnsi" w:hAnsi="Times New Roman"/>
                <w:sz w:val="20"/>
                <w:szCs w:val="24"/>
                <w:lang w:val="en-US"/>
              </w:rPr>
            </w:pPr>
            <w:r w:rsidRPr="00360B79">
              <w:rPr>
                <w:rFonts w:ascii="Times New Roman" w:eastAsiaTheme="minorHAnsi" w:hAnsi="Times New Roman"/>
                <w:sz w:val="20"/>
                <w:szCs w:val="24"/>
                <w:lang w:val="en-US"/>
              </w:rPr>
              <w:t xml:space="preserve">Title of the Academic Programme </w:t>
            </w:r>
          </w:p>
        </w:tc>
        <w:tc>
          <w:tcPr>
            <w:tcW w:w="9179" w:type="dxa"/>
            <w:gridSpan w:val="3"/>
            <w:shd w:val="clear" w:color="auto" w:fill="B6DDE8" w:themeFill="accent5" w:themeFillTint="66"/>
            <w:tcMar>
              <w:top w:w="57" w:type="dxa"/>
              <w:left w:w="57" w:type="dxa"/>
              <w:bottom w:w="57" w:type="dxa"/>
              <w:right w:w="57" w:type="dxa"/>
            </w:tcMar>
            <w:vAlign w:val="center"/>
          </w:tcPr>
          <w:p w:rsidR="00F72FB8" w:rsidRPr="00360B79" w:rsidRDefault="00AE263E" w:rsidP="00A008A2">
            <w:pPr>
              <w:spacing w:after="0" w:line="240" w:lineRule="auto"/>
              <w:rPr>
                <w:rFonts w:ascii="Times New Roman" w:eastAsiaTheme="minorHAnsi" w:hAnsi="Times New Roman"/>
                <w:sz w:val="20"/>
                <w:szCs w:val="24"/>
                <w:lang w:val="en-US"/>
              </w:rPr>
            </w:pPr>
            <w:r w:rsidRPr="00360B79">
              <w:rPr>
                <w:rFonts w:ascii="Times New Roman" w:eastAsiaTheme="minorHAnsi" w:hAnsi="Times New Roman"/>
                <w:sz w:val="20"/>
                <w:szCs w:val="24"/>
                <w:lang w:val="en-US"/>
              </w:rPr>
              <w:t>BA in History</w:t>
            </w:r>
            <w:r w:rsidR="00F72FB8" w:rsidRPr="00360B79">
              <w:rPr>
                <w:rFonts w:ascii="Times New Roman" w:hAnsi="Times New Roman"/>
                <w:sz w:val="20"/>
                <w:szCs w:val="24"/>
                <w:lang w:val="en-US"/>
              </w:rPr>
              <w:t xml:space="preserve"> </w:t>
            </w:r>
          </w:p>
        </w:tc>
      </w:tr>
      <w:tr w:rsidR="00F72FB8" w:rsidRPr="00360B79" w:rsidTr="00360B79">
        <w:tc>
          <w:tcPr>
            <w:tcW w:w="1985" w:type="dxa"/>
            <w:shd w:val="clear" w:color="auto" w:fill="92CDDC" w:themeFill="accent5" w:themeFillTint="99"/>
            <w:tcMar>
              <w:top w:w="57" w:type="dxa"/>
              <w:left w:w="57" w:type="dxa"/>
              <w:bottom w:w="57" w:type="dxa"/>
              <w:right w:w="57" w:type="dxa"/>
            </w:tcMar>
          </w:tcPr>
          <w:p w:rsidR="00F72FB8" w:rsidRPr="00360B79" w:rsidRDefault="00F72FB8" w:rsidP="001E0D4C">
            <w:pPr>
              <w:spacing w:after="0" w:line="240" w:lineRule="auto"/>
              <w:rPr>
                <w:rFonts w:ascii="Times New Roman" w:eastAsiaTheme="minorHAnsi" w:hAnsi="Times New Roman"/>
                <w:sz w:val="20"/>
                <w:szCs w:val="24"/>
                <w:lang w:val="en-US"/>
              </w:rPr>
            </w:pPr>
            <w:r w:rsidRPr="00360B79">
              <w:rPr>
                <w:rFonts w:ascii="Times New Roman" w:eastAsiaTheme="minorHAnsi" w:hAnsi="Times New Roman"/>
                <w:sz w:val="20"/>
                <w:szCs w:val="24"/>
                <w:lang w:val="en-US"/>
              </w:rPr>
              <w:t>Type of Course</w:t>
            </w:r>
          </w:p>
        </w:tc>
        <w:tc>
          <w:tcPr>
            <w:tcW w:w="9179" w:type="dxa"/>
            <w:gridSpan w:val="3"/>
            <w:shd w:val="clear" w:color="auto" w:fill="B6DDE8" w:themeFill="accent5" w:themeFillTint="66"/>
            <w:tcMar>
              <w:top w:w="57" w:type="dxa"/>
              <w:left w:w="57" w:type="dxa"/>
              <w:bottom w:w="57" w:type="dxa"/>
              <w:right w:w="57" w:type="dxa"/>
            </w:tcMar>
            <w:vAlign w:val="center"/>
          </w:tcPr>
          <w:p w:rsidR="00F72FB8" w:rsidRPr="00360B79" w:rsidRDefault="00F72FB8" w:rsidP="00A008A2">
            <w:pPr>
              <w:spacing w:after="0" w:line="240" w:lineRule="auto"/>
              <w:rPr>
                <w:rFonts w:ascii="Times New Roman" w:eastAsiaTheme="minorHAnsi" w:hAnsi="Times New Roman"/>
                <w:sz w:val="20"/>
                <w:szCs w:val="24"/>
                <w:lang w:val="en-US"/>
              </w:rPr>
            </w:pPr>
            <w:r w:rsidRPr="00360B79">
              <w:rPr>
                <w:rFonts w:ascii="Times New Roman" w:eastAsiaTheme="minorHAnsi" w:hAnsi="Times New Roman"/>
                <w:sz w:val="20"/>
                <w:szCs w:val="24"/>
                <w:lang w:val="en-US"/>
              </w:rPr>
              <w:t>Elective</w:t>
            </w:r>
          </w:p>
        </w:tc>
      </w:tr>
      <w:tr w:rsidR="00F72FB8" w:rsidRPr="00726371" w:rsidTr="00360B79">
        <w:trPr>
          <w:trHeight w:val="230"/>
        </w:trPr>
        <w:tc>
          <w:tcPr>
            <w:tcW w:w="1985" w:type="dxa"/>
            <w:shd w:val="clear" w:color="auto" w:fill="92CDDC" w:themeFill="accent5" w:themeFillTint="99"/>
            <w:tcMar>
              <w:top w:w="57" w:type="dxa"/>
              <w:left w:w="57" w:type="dxa"/>
              <w:bottom w:w="57" w:type="dxa"/>
              <w:right w:w="57" w:type="dxa"/>
            </w:tcMar>
          </w:tcPr>
          <w:p w:rsidR="00F72FB8" w:rsidRPr="00360B79" w:rsidRDefault="00F72FB8" w:rsidP="00A008A2">
            <w:pPr>
              <w:spacing w:after="0" w:line="240" w:lineRule="auto"/>
              <w:rPr>
                <w:rFonts w:ascii="Times New Roman" w:eastAsiaTheme="minorHAnsi" w:hAnsi="Times New Roman"/>
                <w:sz w:val="20"/>
                <w:szCs w:val="24"/>
                <w:lang w:val="en-US"/>
              </w:rPr>
            </w:pPr>
            <w:r w:rsidRPr="00360B79">
              <w:rPr>
                <w:rFonts w:ascii="Times New Roman" w:eastAsiaTheme="minorHAnsi" w:hAnsi="Times New Roman"/>
                <w:sz w:val="20"/>
                <w:szCs w:val="24"/>
                <w:lang w:val="en-US"/>
              </w:rPr>
              <w:t>Prerequisites</w:t>
            </w:r>
          </w:p>
        </w:tc>
        <w:tc>
          <w:tcPr>
            <w:tcW w:w="9179" w:type="dxa"/>
            <w:gridSpan w:val="3"/>
            <w:shd w:val="clear" w:color="auto" w:fill="B6DDE8" w:themeFill="accent5" w:themeFillTint="66"/>
            <w:tcMar>
              <w:top w:w="57" w:type="dxa"/>
              <w:left w:w="57" w:type="dxa"/>
              <w:bottom w:w="57" w:type="dxa"/>
              <w:right w:w="57" w:type="dxa"/>
            </w:tcMar>
          </w:tcPr>
          <w:p w:rsidR="00C14DEF" w:rsidRPr="00360B79" w:rsidRDefault="00C14DEF" w:rsidP="00C14DEF">
            <w:pPr>
              <w:autoSpaceDE w:val="0"/>
              <w:autoSpaceDN w:val="0"/>
              <w:adjustRightInd w:val="0"/>
              <w:spacing w:after="0" w:line="240" w:lineRule="auto"/>
              <w:rPr>
                <w:rFonts w:ascii="Times New Roman" w:eastAsiaTheme="minorHAnsi" w:hAnsi="Times New Roman"/>
                <w:color w:val="000000"/>
                <w:sz w:val="20"/>
                <w:szCs w:val="23"/>
                <w:lang w:val="en-US"/>
              </w:rPr>
            </w:pPr>
            <w:r w:rsidRPr="00360B79">
              <w:rPr>
                <w:rFonts w:ascii="Times New Roman" w:eastAsiaTheme="minorHAnsi" w:hAnsi="Times New Roman"/>
                <w:color w:val="000000"/>
                <w:sz w:val="20"/>
                <w:szCs w:val="23"/>
                <w:lang w:val="en-US"/>
              </w:rPr>
              <w:t>- Students should be familiar with the general contours of the world history from the 16</w:t>
            </w:r>
            <w:r w:rsidRPr="00360B79">
              <w:rPr>
                <w:rFonts w:ascii="Times New Roman" w:eastAsiaTheme="minorHAnsi" w:hAnsi="Times New Roman"/>
                <w:color w:val="000000"/>
                <w:sz w:val="20"/>
                <w:szCs w:val="16"/>
                <w:lang w:val="en-US"/>
              </w:rPr>
              <w:t xml:space="preserve">th </w:t>
            </w:r>
            <w:r w:rsidRPr="00360B79">
              <w:rPr>
                <w:rFonts w:ascii="Times New Roman" w:eastAsiaTheme="minorHAnsi" w:hAnsi="Times New Roman"/>
                <w:color w:val="000000"/>
                <w:sz w:val="20"/>
                <w:szCs w:val="23"/>
                <w:lang w:val="en-US"/>
              </w:rPr>
              <w:t xml:space="preserve">c. to the present. </w:t>
            </w:r>
          </w:p>
          <w:p w:rsidR="00F72FB8" w:rsidRPr="00360B79" w:rsidRDefault="00C14DEF" w:rsidP="00C14DEF">
            <w:pPr>
              <w:tabs>
                <w:tab w:val="left" w:pos="1776"/>
              </w:tabs>
              <w:spacing w:after="0" w:line="240" w:lineRule="auto"/>
              <w:rPr>
                <w:rFonts w:ascii="Times New Roman" w:eastAsiaTheme="minorHAnsi" w:hAnsi="Times New Roman"/>
                <w:sz w:val="20"/>
                <w:szCs w:val="24"/>
                <w:lang w:val="en-US"/>
              </w:rPr>
            </w:pPr>
            <w:r w:rsidRPr="00360B79">
              <w:rPr>
                <w:rFonts w:ascii="Times New Roman" w:eastAsiaTheme="minorHAnsi" w:hAnsi="Times New Roman"/>
                <w:color w:val="000000"/>
                <w:sz w:val="20"/>
                <w:szCs w:val="23"/>
                <w:lang w:val="en-US"/>
              </w:rPr>
              <w:t xml:space="preserve">- </w:t>
            </w:r>
            <w:proofErr w:type="gramStart"/>
            <w:r w:rsidRPr="00360B79">
              <w:rPr>
                <w:rFonts w:ascii="Times New Roman" w:eastAsiaTheme="minorHAnsi" w:hAnsi="Times New Roman"/>
                <w:color w:val="000000"/>
                <w:sz w:val="20"/>
                <w:szCs w:val="23"/>
                <w:lang w:val="en-US"/>
              </w:rPr>
              <w:t>upper-intermediate</w:t>
            </w:r>
            <w:proofErr w:type="gramEnd"/>
            <w:r w:rsidRPr="00360B79">
              <w:rPr>
                <w:rFonts w:ascii="Times New Roman" w:eastAsiaTheme="minorHAnsi" w:hAnsi="Times New Roman"/>
                <w:color w:val="000000"/>
                <w:sz w:val="20"/>
                <w:szCs w:val="23"/>
                <w:lang w:val="en-US"/>
              </w:rPr>
              <w:t xml:space="preserve"> or advanced reading, writing and speaking skills in English.</w:t>
            </w:r>
          </w:p>
        </w:tc>
      </w:tr>
      <w:tr w:rsidR="00F72FB8" w:rsidRPr="00360B79" w:rsidTr="00360B79">
        <w:trPr>
          <w:trHeight w:val="230"/>
        </w:trPr>
        <w:tc>
          <w:tcPr>
            <w:tcW w:w="1985" w:type="dxa"/>
            <w:shd w:val="clear" w:color="auto" w:fill="92CDDC" w:themeFill="accent5" w:themeFillTint="99"/>
            <w:tcMar>
              <w:top w:w="57" w:type="dxa"/>
              <w:left w:w="57" w:type="dxa"/>
              <w:bottom w:w="57" w:type="dxa"/>
              <w:right w:w="57" w:type="dxa"/>
            </w:tcMar>
          </w:tcPr>
          <w:p w:rsidR="00F72FB8" w:rsidRPr="00360B79" w:rsidRDefault="00F72FB8" w:rsidP="00A008A2">
            <w:pPr>
              <w:spacing w:after="0" w:line="240" w:lineRule="auto"/>
              <w:rPr>
                <w:rFonts w:ascii="Times New Roman" w:eastAsiaTheme="minorHAnsi" w:hAnsi="Times New Roman"/>
                <w:sz w:val="20"/>
                <w:szCs w:val="24"/>
                <w:lang w:val="en-US"/>
              </w:rPr>
            </w:pPr>
            <w:r w:rsidRPr="00360B79">
              <w:rPr>
                <w:rFonts w:ascii="Times New Roman" w:eastAsiaTheme="minorHAnsi" w:hAnsi="Times New Roman"/>
                <w:sz w:val="20"/>
                <w:szCs w:val="24"/>
                <w:lang w:val="en-US"/>
              </w:rPr>
              <w:t>ECTS workload</w:t>
            </w:r>
          </w:p>
        </w:tc>
        <w:tc>
          <w:tcPr>
            <w:tcW w:w="9179" w:type="dxa"/>
            <w:gridSpan w:val="3"/>
            <w:shd w:val="clear" w:color="auto" w:fill="B6DDE8" w:themeFill="accent5" w:themeFillTint="66"/>
            <w:tcMar>
              <w:top w:w="57" w:type="dxa"/>
              <w:left w:w="57" w:type="dxa"/>
              <w:bottom w:w="57" w:type="dxa"/>
              <w:right w:w="57" w:type="dxa"/>
            </w:tcMar>
          </w:tcPr>
          <w:p w:rsidR="00F72FB8" w:rsidRPr="00360B79" w:rsidRDefault="0039109A" w:rsidP="00A008A2">
            <w:pPr>
              <w:spacing w:after="0" w:line="240" w:lineRule="auto"/>
              <w:rPr>
                <w:rFonts w:ascii="Times New Roman" w:eastAsiaTheme="minorHAnsi" w:hAnsi="Times New Roman"/>
                <w:sz w:val="20"/>
                <w:szCs w:val="24"/>
                <w:lang w:val="en-US"/>
              </w:rPr>
            </w:pPr>
            <w:r w:rsidRPr="00360B79">
              <w:rPr>
                <w:rFonts w:ascii="Times New Roman" w:eastAsiaTheme="minorHAnsi" w:hAnsi="Times New Roman"/>
                <w:sz w:val="20"/>
                <w:szCs w:val="24"/>
                <w:lang w:val="en-US"/>
              </w:rPr>
              <w:t>6</w:t>
            </w:r>
          </w:p>
        </w:tc>
      </w:tr>
      <w:tr w:rsidR="00F72FB8" w:rsidRPr="00360B79" w:rsidTr="00360B79">
        <w:trPr>
          <w:trHeight w:val="217"/>
        </w:trPr>
        <w:tc>
          <w:tcPr>
            <w:tcW w:w="1985" w:type="dxa"/>
            <w:vMerge w:val="restart"/>
            <w:shd w:val="clear" w:color="auto" w:fill="92CDDC" w:themeFill="accent5" w:themeFillTint="99"/>
            <w:tcMar>
              <w:top w:w="57" w:type="dxa"/>
              <w:left w:w="57" w:type="dxa"/>
              <w:bottom w:w="57" w:type="dxa"/>
              <w:right w:w="57" w:type="dxa"/>
            </w:tcMar>
          </w:tcPr>
          <w:p w:rsidR="00F72FB8" w:rsidRPr="00360B79" w:rsidRDefault="00F72FB8" w:rsidP="00A008A2">
            <w:pPr>
              <w:spacing w:after="0" w:line="240" w:lineRule="auto"/>
              <w:rPr>
                <w:rFonts w:ascii="Times New Roman" w:eastAsiaTheme="minorHAnsi" w:hAnsi="Times New Roman"/>
                <w:sz w:val="20"/>
                <w:szCs w:val="24"/>
                <w:lang w:val="en-US"/>
              </w:rPr>
            </w:pPr>
            <w:r w:rsidRPr="00360B79">
              <w:rPr>
                <w:rFonts w:ascii="Times New Roman" w:eastAsiaTheme="minorHAnsi" w:hAnsi="Times New Roman"/>
                <w:sz w:val="20"/>
                <w:szCs w:val="24"/>
                <w:lang w:val="en-US"/>
              </w:rPr>
              <w:t>Total indicative study hours</w:t>
            </w:r>
          </w:p>
        </w:tc>
        <w:tc>
          <w:tcPr>
            <w:tcW w:w="3260" w:type="dxa"/>
            <w:shd w:val="clear" w:color="auto" w:fill="auto"/>
            <w:tcMar>
              <w:top w:w="57" w:type="dxa"/>
              <w:left w:w="57" w:type="dxa"/>
              <w:bottom w:w="57" w:type="dxa"/>
              <w:right w:w="57" w:type="dxa"/>
            </w:tcMar>
          </w:tcPr>
          <w:p w:rsidR="00F72FB8" w:rsidRPr="00360B79" w:rsidRDefault="00F72FB8" w:rsidP="00A008A2">
            <w:pPr>
              <w:spacing w:after="0" w:line="240" w:lineRule="auto"/>
              <w:rPr>
                <w:rFonts w:ascii="Times New Roman" w:eastAsiaTheme="minorHAnsi" w:hAnsi="Times New Roman"/>
                <w:sz w:val="20"/>
                <w:szCs w:val="24"/>
                <w:lang w:val="en-US"/>
              </w:rPr>
            </w:pPr>
            <w:r w:rsidRPr="00360B79">
              <w:rPr>
                <w:rFonts w:ascii="Times New Roman" w:eastAsiaTheme="minorHAnsi" w:hAnsi="Times New Roman"/>
                <w:sz w:val="20"/>
                <w:szCs w:val="24"/>
                <w:lang w:val="en-US"/>
              </w:rPr>
              <w:t>Directed Study</w:t>
            </w:r>
          </w:p>
        </w:tc>
        <w:tc>
          <w:tcPr>
            <w:tcW w:w="2977" w:type="dxa"/>
            <w:shd w:val="clear" w:color="auto" w:fill="auto"/>
          </w:tcPr>
          <w:p w:rsidR="00F72FB8" w:rsidRPr="00360B79" w:rsidRDefault="00F72FB8" w:rsidP="00A008A2">
            <w:pPr>
              <w:spacing w:after="0" w:line="240" w:lineRule="auto"/>
              <w:rPr>
                <w:rFonts w:ascii="Times New Roman" w:eastAsiaTheme="minorHAnsi" w:hAnsi="Times New Roman"/>
                <w:sz w:val="20"/>
                <w:szCs w:val="24"/>
                <w:lang w:val="en-US"/>
              </w:rPr>
            </w:pPr>
            <w:r w:rsidRPr="00360B79">
              <w:rPr>
                <w:rFonts w:ascii="Times New Roman" w:eastAsiaTheme="minorHAnsi" w:hAnsi="Times New Roman"/>
                <w:sz w:val="20"/>
                <w:szCs w:val="24"/>
                <w:lang w:val="en-US"/>
              </w:rPr>
              <w:t xml:space="preserve">Self-directed study </w:t>
            </w:r>
          </w:p>
        </w:tc>
        <w:tc>
          <w:tcPr>
            <w:tcW w:w="2942" w:type="dxa"/>
            <w:shd w:val="clear" w:color="auto" w:fill="auto"/>
          </w:tcPr>
          <w:p w:rsidR="00F72FB8" w:rsidRPr="00360B79" w:rsidRDefault="00F72FB8" w:rsidP="00A008A2">
            <w:pPr>
              <w:spacing w:after="0" w:line="240" w:lineRule="auto"/>
              <w:rPr>
                <w:rFonts w:ascii="Times New Roman" w:eastAsiaTheme="minorHAnsi" w:hAnsi="Times New Roman"/>
                <w:sz w:val="20"/>
                <w:szCs w:val="24"/>
                <w:lang w:val="en-US"/>
              </w:rPr>
            </w:pPr>
            <w:r w:rsidRPr="00360B79">
              <w:rPr>
                <w:rFonts w:ascii="Times New Roman" w:eastAsiaTheme="minorHAnsi" w:hAnsi="Times New Roman"/>
                <w:sz w:val="20"/>
                <w:szCs w:val="24"/>
                <w:lang w:val="en-US"/>
              </w:rPr>
              <w:t>Total</w:t>
            </w:r>
          </w:p>
        </w:tc>
      </w:tr>
      <w:tr w:rsidR="00F72FB8" w:rsidRPr="00360B79" w:rsidTr="00360B79">
        <w:trPr>
          <w:trHeight w:val="216"/>
        </w:trPr>
        <w:tc>
          <w:tcPr>
            <w:tcW w:w="1985" w:type="dxa"/>
            <w:vMerge/>
            <w:shd w:val="clear" w:color="auto" w:fill="92CDDC" w:themeFill="accent5" w:themeFillTint="99"/>
            <w:tcMar>
              <w:top w:w="57" w:type="dxa"/>
              <w:left w:w="57" w:type="dxa"/>
              <w:bottom w:w="57" w:type="dxa"/>
              <w:right w:w="57" w:type="dxa"/>
            </w:tcMar>
          </w:tcPr>
          <w:p w:rsidR="00F72FB8" w:rsidRPr="00360B79" w:rsidRDefault="00F72FB8" w:rsidP="00A008A2">
            <w:pPr>
              <w:spacing w:after="0" w:line="240" w:lineRule="auto"/>
              <w:rPr>
                <w:rFonts w:ascii="Times New Roman" w:eastAsiaTheme="minorHAnsi" w:hAnsi="Times New Roman"/>
                <w:sz w:val="20"/>
                <w:szCs w:val="24"/>
                <w:lang w:val="en-US"/>
              </w:rPr>
            </w:pPr>
          </w:p>
        </w:tc>
        <w:tc>
          <w:tcPr>
            <w:tcW w:w="3260" w:type="dxa"/>
            <w:shd w:val="clear" w:color="auto" w:fill="auto"/>
            <w:tcMar>
              <w:top w:w="57" w:type="dxa"/>
              <w:left w:w="57" w:type="dxa"/>
              <w:bottom w:w="57" w:type="dxa"/>
              <w:right w:w="57" w:type="dxa"/>
            </w:tcMar>
          </w:tcPr>
          <w:p w:rsidR="00F72FB8" w:rsidRPr="00726371" w:rsidRDefault="00726371" w:rsidP="00A008A2">
            <w:pPr>
              <w:spacing w:after="0" w:line="240" w:lineRule="auto"/>
              <w:rPr>
                <w:rFonts w:ascii="Times New Roman" w:eastAsiaTheme="minorHAnsi" w:hAnsi="Times New Roman"/>
                <w:sz w:val="20"/>
                <w:szCs w:val="24"/>
                <w:lang w:val="en-US"/>
              </w:rPr>
            </w:pPr>
            <w:r>
              <w:rPr>
                <w:rFonts w:ascii="Times New Roman" w:eastAsiaTheme="minorHAnsi" w:hAnsi="Times New Roman"/>
                <w:sz w:val="20"/>
                <w:szCs w:val="24"/>
                <w:lang w:val="en-US"/>
              </w:rPr>
              <w:t>84</w:t>
            </w:r>
          </w:p>
        </w:tc>
        <w:tc>
          <w:tcPr>
            <w:tcW w:w="2977" w:type="dxa"/>
            <w:shd w:val="clear" w:color="auto" w:fill="auto"/>
          </w:tcPr>
          <w:p w:rsidR="00F72FB8" w:rsidRPr="00726371" w:rsidRDefault="00F72FB8" w:rsidP="00726371">
            <w:pPr>
              <w:spacing w:after="0" w:line="240" w:lineRule="auto"/>
              <w:rPr>
                <w:rFonts w:ascii="Times New Roman" w:eastAsiaTheme="minorHAnsi" w:hAnsi="Times New Roman"/>
                <w:sz w:val="20"/>
                <w:szCs w:val="24"/>
                <w:lang w:val="en-US"/>
              </w:rPr>
            </w:pPr>
            <w:r w:rsidRPr="00360B79">
              <w:rPr>
                <w:rFonts w:ascii="Times New Roman" w:eastAsiaTheme="minorHAnsi" w:hAnsi="Times New Roman"/>
                <w:sz w:val="20"/>
                <w:szCs w:val="24"/>
                <w:lang w:val="en-US"/>
              </w:rPr>
              <w:t>1</w:t>
            </w:r>
            <w:r w:rsidR="00726371">
              <w:rPr>
                <w:rFonts w:ascii="Times New Roman" w:eastAsiaTheme="minorHAnsi" w:hAnsi="Times New Roman"/>
                <w:sz w:val="20"/>
                <w:szCs w:val="24"/>
                <w:lang w:val="en-US"/>
              </w:rPr>
              <w:t>44</w:t>
            </w:r>
            <w:bookmarkStart w:id="0" w:name="_GoBack"/>
            <w:bookmarkEnd w:id="0"/>
          </w:p>
        </w:tc>
        <w:tc>
          <w:tcPr>
            <w:tcW w:w="2942" w:type="dxa"/>
            <w:shd w:val="clear" w:color="auto" w:fill="auto"/>
          </w:tcPr>
          <w:p w:rsidR="00F72FB8" w:rsidRPr="00360B79" w:rsidRDefault="0039109A" w:rsidP="00A008A2">
            <w:pPr>
              <w:spacing w:after="0" w:line="240" w:lineRule="auto"/>
              <w:rPr>
                <w:rFonts w:ascii="Times New Roman" w:eastAsiaTheme="minorHAnsi" w:hAnsi="Times New Roman"/>
                <w:sz w:val="20"/>
                <w:szCs w:val="24"/>
                <w:lang w:val="en-US"/>
              </w:rPr>
            </w:pPr>
            <w:r w:rsidRPr="00360B79">
              <w:rPr>
                <w:rFonts w:ascii="Times New Roman" w:eastAsiaTheme="minorHAnsi" w:hAnsi="Times New Roman"/>
                <w:sz w:val="20"/>
                <w:szCs w:val="24"/>
                <w:lang w:val="en-US"/>
              </w:rPr>
              <w:t>228</w:t>
            </w:r>
          </w:p>
        </w:tc>
      </w:tr>
      <w:tr w:rsidR="00F72FB8" w:rsidRPr="00726371" w:rsidTr="00360B79">
        <w:tc>
          <w:tcPr>
            <w:tcW w:w="1985" w:type="dxa"/>
            <w:shd w:val="clear" w:color="auto" w:fill="92CDDC" w:themeFill="accent5" w:themeFillTint="99"/>
            <w:tcMar>
              <w:top w:w="57" w:type="dxa"/>
              <w:left w:w="57" w:type="dxa"/>
              <w:bottom w:w="57" w:type="dxa"/>
              <w:right w:w="57" w:type="dxa"/>
            </w:tcMar>
          </w:tcPr>
          <w:p w:rsidR="00F72FB8" w:rsidRPr="00360B79" w:rsidRDefault="00F72FB8" w:rsidP="00A008A2">
            <w:pPr>
              <w:spacing w:after="0" w:line="240" w:lineRule="auto"/>
              <w:rPr>
                <w:rFonts w:ascii="Times New Roman" w:eastAsiaTheme="minorHAnsi" w:hAnsi="Times New Roman"/>
                <w:sz w:val="20"/>
                <w:szCs w:val="24"/>
                <w:lang w:val="en-US"/>
              </w:rPr>
            </w:pPr>
            <w:r w:rsidRPr="00360B79">
              <w:rPr>
                <w:rFonts w:ascii="Times New Roman" w:eastAsiaTheme="minorHAnsi" w:hAnsi="Times New Roman"/>
                <w:sz w:val="20"/>
                <w:szCs w:val="24"/>
                <w:lang w:val="en-US"/>
              </w:rPr>
              <w:t>Course Overview</w:t>
            </w:r>
          </w:p>
        </w:tc>
        <w:tc>
          <w:tcPr>
            <w:tcW w:w="9179" w:type="dxa"/>
            <w:gridSpan w:val="3"/>
            <w:tcMar>
              <w:top w:w="57" w:type="dxa"/>
              <w:left w:w="57" w:type="dxa"/>
              <w:bottom w:w="57" w:type="dxa"/>
              <w:right w:w="57" w:type="dxa"/>
            </w:tcMar>
          </w:tcPr>
          <w:p w:rsidR="00F72FB8" w:rsidRPr="00360B79" w:rsidRDefault="009318FE" w:rsidP="00A008A2">
            <w:pPr>
              <w:spacing w:after="0" w:line="240" w:lineRule="auto"/>
              <w:jc w:val="both"/>
              <w:rPr>
                <w:rFonts w:ascii="Times New Roman" w:hAnsi="Times New Roman"/>
                <w:sz w:val="20"/>
                <w:szCs w:val="24"/>
                <w:lang w:val="en-US"/>
              </w:rPr>
            </w:pPr>
            <w:r w:rsidRPr="00360B79">
              <w:rPr>
                <w:rFonts w:ascii="Times New Roman" w:hAnsi="Times New Roman"/>
                <w:sz w:val="20"/>
                <w:szCs w:val="24"/>
                <w:lang w:val="en-US"/>
              </w:rPr>
              <w:t>This course focuses on the economic, social, environmental, political and cultural history of the Arctic and Circumpolar North. It introduces a wide interdisciplinary view on diverse human experiences in the North. Within the course students will learn about key works and directions in circumpolar studies. The course will examine such themes as the interplay between the outside, expert and indigenous knowledge, expectations and experiences in the North, human and non-human connections in history of the area. It will emphasize analytical approaches both as a means to particular Arctic specialties and as an avenue for integrating into the educational programme research methods and theory from social and natural sciences. Key historical trends will be examined to demonstrate how the North was incorporated into nation-states that govern the circumpolar regions of the world. The course will locate the development of the Circumpolar North in larger historical trends of colonial and post-colonial studies, history of science and exploration, technology and environment, international efforts in region-building in the Arctic and national concerns of different states on security, resources and human-being in the North.</w:t>
            </w:r>
          </w:p>
        </w:tc>
      </w:tr>
      <w:tr w:rsidR="00173E7C" w:rsidRPr="00726371" w:rsidTr="00360B79">
        <w:tc>
          <w:tcPr>
            <w:tcW w:w="1985" w:type="dxa"/>
            <w:shd w:val="clear" w:color="auto" w:fill="92CDDC" w:themeFill="accent5" w:themeFillTint="99"/>
            <w:tcMar>
              <w:top w:w="57" w:type="dxa"/>
              <w:left w:w="57" w:type="dxa"/>
              <w:bottom w:w="57" w:type="dxa"/>
              <w:right w:w="57" w:type="dxa"/>
            </w:tcMar>
          </w:tcPr>
          <w:p w:rsidR="00173E7C" w:rsidRPr="00360B79" w:rsidRDefault="00173E7C" w:rsidP="00A008A2">
            <w:pPr>
              <w:spacing w:after="0" w:line="240" w:lineRule="auto"/>
              <w:rPr>
                <w:rFonts w:ascii="Times New Roman" w:eastAsiaTheme="minorHAnsi" w:hAnsi="Times New Roman"/>
                <w:sz w:val="20"/>
                <w:szCs w:val="24"/>
                <w:lang w:val="en-US"/>
              </w:rPr>
            </w:pPr>
            <w:r w:rsidRPr="00360B79">
              <w:rPr>
                <w:rFonts w:ascii="Times New Roman" w:eastAsiaTheme="minorHAnsi" w:hAnsi="Times New Roman"/>
                <w:sz w:val="20"/>
                <w:szCs w:val="24"/>
                <w:lang w:val="en-US"/>
              </w:rPr>
              <w:t>Indicative Course Content</w:t>
            </w:r>
          </w:p>
        </w:tc>
        <w:tc>
          <w:tcPr>
            <w:tcW w:w="9179" w:type="dxa"/>
            <w:gridSpan w:val="3"/>
            <w:tcMar>
              <w:top w:w="57" w:type="dxa"/>
              <w:left w:w="57" w:type="dxa"/>
              <w:bottom w:w="57" w:type="dxa"/>
              <w:right w:w="57" w:type="dxa"/>
            </w:tcMar>
          </w:tcPr>
          <w:p w:rsidR="00501CCD" w:rsidRPr="00360B79" w:rsidRDefault="00501CCD" w:rsidP="00501CCD">
            <w:pPr>
              <w:autoSpaceDE w:val="0"/>
              <w:autoSpaceDN w:val="0"/>
              <w:adjustRightInd w:val="0"/>
              <w:spacing w:after="0" w:line="240" w:lineRule="auto"/>
              <w:rPr>
                <w:rFonts w:ascii="Times New Roman" w:eastAsiaTheme="minorHAnsi" w:hAnsi="Times New Roman"/>
                <w:color w:val="000000"/>
                <w:sz w:val="20"/>
                <w:szCs w:val="23"/>
                <w:lang w:val="en-US"/>
              </w:rPr>
            </w:pPr>
            <w:r w:rsidRPr="00360B79">
              <w:rPr>
                <w:rFonts w:ascii="Times New Roman" w:eastAsiaTheme="minorHAnsi" w:hAnsi="Times New Roman"/>
                <w:color w:val="000000"/>
                <w:sz w:val="20"/>
                <w:szCs w:val="23"/>
                <w:lang w:val="en-US"/>
              </w:rPr>
              <w:t xml:space="preserve">The course will provide knowledge according to the following topics: </w:t>
            </w:r>
          </w:p>
          <w:p w:rsidR="00501CCD" w:rsidRPr="00360B79" w:rsidRDefault="00501CCD" w:rsidP="00501CCD">
            <w:pPr>
              <w:autoSpaceDE w:val="0"/>
              <w:autoSpaceDN w:val="0"/>
              <w:adjustRightInd w:val="0"/>
              <w:spacing w:after="0" w:line="240" w:lineRule="auto"/>
              <w:rPr>
                <w:rFonts w:ascii="Times New Roman" w:eastAsiaTheme="minorHAnsi" w:hAnsi="Times New Roman"/>
                <w:color w:val="000000"/>
                <w:sz w:val="20"/>
                <w:szCs w:val="23"/>
                <w:lang w:val="en-US"/>
              </w:rPr>
            </w:pPr>
            <w:r w:rsidRPr="00360B79">
              <w:rPr>
                <w:rFonts w:ascii="Times New Roman" w:eastAsiaTheme="minorHAnsi" w:hAnsi="Times New Roman"/>
                <w:color w:val="000000"/>
                <w:sz w:val="20"/>
                <w:szCs w:val="23"/>
                <w:lang w:val="en-US"/>
              </w:rPr>
              <w:t xml:space="preserve">1) Introduction to studies of the Circumpolar North: key dates and history. History of the North in the framework of colonial and post-colonial studies. Different meanings </w:t>
            </w:r>
          </w:p>
          <w:p w:rsidR="00501CCD" w:rsidRPr="00360B79" w:rsidRDefault="00501CCD" w:rsidP="00501CCD">
            <w:pPr>
              <w:autoSpaceDE w:val="0"/>
              <w:autoSpaceDN w:val="0"/>
              <w:adjustRightInd w:val="0"/>
              <w:spacing w:after="0" w:line="240" w:lineRule="auto"/>
              <w:rPr>
                <w:rFonts w:ascii="Times New Roman" w:eastAsiaTheme="minorHAnsi" w:hAnsi="Times New Roman"/>
                <w:color w:val="000000"/>
                <w:sz w:val="20"/>
                <w:szCs w:val="23"/>
                <w:lang w:val="en-US"/>
              </w:rPr>
            </w:pPr>
            <w:proofErr w:type="gramStart"/>
            <w:r w:rsidRPr="00360B79">
              <w:rPr>
                <w:rFonts w:ascii="Times New Roman" w:eastAsiaTheme="minorHAnsi" w:hAnsi="Times New Roman"/>
                <w:color w:val="000000"/>
                <w:sz w:val="20"/>
                <w:szCs w:val="23"/>
                <w:lang w:val="en-US"/>
              </w:rPr>
              <w:t>of</w:t>
            </w:r>
            <w:proofErr w:type="gramEnd"/>
            <w:r w:rsidRPr="00360B79">
              <w:rPr>
                <w:rFonts w:ascii="Times New Roman" w:eastAsiaTheme="minorHAnsi" w:hAnsi="Times New Roman"/>
                <w:color w:val="000000"/>
                <w:sz w:val="20"/>
                <w:szCs w:val="23"/>
                <w:lang w:val="en-US"/>
              </w:rPr>
              <w:t xml:space="preserve"> the North and the Arctic in Scandinavian, Canadian, Russian history. Circumpolar </w:t>
            </w:r>
          </w:p>
          <w:p w:rsidR="00501CCD" w:rsidRPr="00360B79" w:rsidRDefault="00501CCD" w:rsidP="00501CCD">
            <w:pPr>
              <w:autoSpaceDE w:val="0"/>
              <w:autoSpaceDN w:val="0"/>
              <w:adjustRightInd w:val="0"/>
              <w:spacing w:after="0" w:line="240" w:lineRule="auto"/>
              <w:rPr>
                <w:rFonts w:ascii="Times New Roman" w:eastAsiaTheme="minorHAnsi" w:hAnsi="Times New Roman"/>
                <w:color w:val="000000"/>
                <w:sz w:val="20"/>
                <w:szCs w:val="23"/>
                <w:lang w:val="en-US"/>
              </w:rPr>
            </w:pPr>
            <w:r w:rsidRPr="00360B79">
              <w:rPr>
                <w:rFonts w:ascii="Times New Roman" w:eastAsiaTheme="minorHAnsi" w:hAnsi="Times New Roman"/>
                <w:color w:val="000000"/>
                <w:sz w:val="20"/>
                <w:szCs w:val="23"/>
                <w:lang w:val="en-US"/>
              </w:rPr>
              <w:t xml:space="preserve">North vs Arctic: region-building processes in the second half of the 20th century. </w:t>
            </w:r>
          </w:p>
          <w:p w:rsidR="00501CCD" w:rsidRPr="00360B79" w:rsidRDefault="00501CCD" w:rsidP="00501CCD">
            <w:pPr>
              <w:autoSpaceDE w:val="0"/>
              <w:autoSpaceDN w:val="0"/>
              <w:adjustRightInd w:val="0"/>
              <w:spacing w:after="0" w:line="240" w:lineRule="auto"/>
              <w:rPr>
                <w:rFonts w:ascii="Times New Roman" w:eastAsiaTheme="minorHAnsi" w:hAnsi="Times New Roman"/>
                <w:color w:val="000000"/>
                <w:sz w:val="20"/>
                <w:szCs w:val="23"/>
                <w:lang w:val="en-US"/>
              </w:rPr>
            </w:pPr>
            <w:r w:rsidRPr="00360B79">
              <w:rPr>
                <w:rFonts w:ascii="Times New Roman" w:eastAsiaTheme="minorHAnsi" w:hAnsi="Times New Roman"/>
                <w:color w:val="000000"/>
                <w:sz w:val="20"/>
                <w:szCs w:val="23"/>
                <w:lang w:val="en-US"/>
              </w:rPr>
              <w:t xml:space="preserve">2) Role of natural resources and environment in the history of the Circumpolar North. </w:t>
            </w:r>
            <w:proofErr w:type="gramStart"/>
            <w:r w:rsidRPr="00360B79">
              <w:rPr>
                <w:rFonts w:ascii="Times New Roman" w:eastAsiaTheme="minorHAnsi" w:hAnsi="Times New Roman"/>
                <w:color w:val="000000"/>
                <w:sz w:val="20"/>
                <w:szCs w:val="23"/>
                <w:lang w:val="en-US"/>
              </w:rPr>
              <w:t>Experts</w:t>
            </w:r>
            <w:proofErr w:type="gramEnd"/>
            <w:r w:rsidRPr="00360B79">
              <w:rPr>
                <w:rFonts w:ascii="Times New Roman" w:eastAsiaTheme="minorHAnsi" w:hAnsi="Times New Roman"/>
                <w:color w:val="000000"/>
                <w:sz w:val="20"/>
                <w:szCs w:val="23"/>
                <w:lang w:val="en-US"/>
              </w:rPr>
              <w:t xml:space="preserve"> knowledge in exploration and the exploitation of the North. History of the </w:t>
            </w:r>
          </w:p>
          <w:p w:rsidR="00501CCD" w:rsidRPr="00360B79" w:rsidRDefault="00501CCD" w:rsidP="00501CCD">
            <w:pPr>
              <w:autoSpaceDE w:val="0"/>
              <w:autoSpaceDN w:val="0"/>
              <w:adjustRightInd w:val="0"/>
              <w:spacing w:after="0" w:line="240" w:lineRule="auto"/>
              <w:rPr>
                <w:rFonts w:ascii="Times New Roman" w:eastAsiaTheme="minorHAnsi" w:hAnsi="Times New Roman"/>
                <w:color w:val="000000"/>
                <w:sz w:val="20"/>
                <w:szCs w:val="23"/>
                <w:lang w:val="en-US"/>
              </w:rPr>
            </w:pPr>
            <w:r w:rsidRPr="00360B79">
              <w:rPr>
                <w:rFonts w:ascii="Times New Roman" w:eastAsiaTheme="minorHAnsi" w:hAnsi="Times New Roman"/>
                <w:color w:val="000000"/>
                <w:sz w:val="20"/>
                <w:szCs w:val="23"/>
                <w:lang w:val="en-US"/>
              </w:rPr>
              <w:t xml:space="preserve">Arctic Ocean. </w:t>
            </w:r>
          </w:p>
          <w:p w:rsidR="00501CCD" w:rsidRPr="00360B79" w:rsidRDefault="00501CCD" w:rsidP="00501CCD">
            <w:pPr>
              <w:autoSpaceDE w:val="0"/>
              <w:autoSpaceDN w:val="0"/>
              <w:adjustRightInd w:val="0"/>
              <w:spacing w:after="0" w:line="240" w:lineRule="auto"/>
              <w:rPr>
                <w:rFonts w:ascii="Times New Roman" w:eastAsiaTheme="minorHAnsi" w:hAnsi="Times New Roman"/>
                <w:color w:val="000000"/>
                <w:sz w:val="20"/>
                <w:szCs w:val="23"/>
                <w:lang w:val="en-US"/>
              </w:rPr>
            </w:pPr>
            <w:r w:rsidRPr="00360B79">
              <w:rPr>
                <w:rFonts w:ascii="Times New Roman" w:eastAsiaTheme="minorHAnsi" w:hAnsi="Times New Roman"/>
                <w:color w:val="000000"/>
                <w:sz w:val="20"/>
                <w:szCs w:val="23"/>
                <w:lang w:val="en-US"/>
              </w:rPr>
              <w:t xml:space="preserve">3) Peoples and cultures in the context of polar history. Indigenous knowledge vs expert knowledge. </w:t>
            </w:r>
          </w:p>
          <w:p w:rsidR="00501CCD" w:rsidRPr="00360B79" w:rsidRDefault="00501CCD" w:rsidP="00501CCD">
            <w:pPr>
              <w:autoSpaceDE w:val="0"/>
              <w:autoSpaceDN w:val="0"/>
              <w:adjustRightInd w:val="0"/>
              <w:spacing w:after="0" w:line="240" w:lineRule="auto"/>
              <w:rPr>
                <w:rFonts w:ascii="Times New Roman" w:eastAsiaTheme="minorHAnsi" w:hAnsi="Times New Roman"/>
                <w:color w:val="000000"/>
                <w:sz w:val="20"/>
                <w:szCs w:val="23"/>
                <w:lang w:val="en-US"/>
              </w:rPr>
            </w:pPr>
            <w:r w:rsidRPr="00360B79">
              <w:rPr>
                <w:rFonts w:ascii="Times New Roman" w:eastAsiaTheme="minorHAnsi" w:hAnsi="Times New Roman"/>
                <w:color w:val="000000"/>
                <w:sz w:val="20"/>
                <w:szCs w:val="23"/>
                <w:lang w:val="en-US"/>
              </w:rPr>
              <w:t xml:space="preserve">4) History of international relations, international organizations, scientific activities and modes of governance (Artic Council, International Polar Years etc.) in the Arctic. </w:t>
            </w:r>
          </w:p>
          <w:p w:rsidR="00173E7C" w:rsidRPr="00360B79" w:rsidRDefault="00501CCD" w:rsidP="00501CCD">
            <w:pPr>
              <w:spacing w:after="0" w:line="240" w:lineRule="auto"/>
              <w:rPr>
                <w:sz w:val="20"/>
                <w:lang w:val="en-US"/>
              </w:rPr>
            </w:pPr>
            <w:r w:rsidRPr="00360B79">
              <w:rPr>
                <w:rFonts w:ascii="Times New Roman" w:eastAsiaTheme="minorHAnsi" w:hAnsi="Times New Roman"/>
                <w:color w:val="000000"/>
                <w:sz w:val="20"/>
                <w:szCs w:val="23"/>
                <w:lang w:val="en-US"/>
              </w:rPr>
              <w:t>Comparative history of the Arctic and Antarctic.</w:t>
            </w:r>
          </w:p>
        </w:tc>
      </w:tr>
      <w:tr w:rsidR="00F72FB8" w:rsidRPr="00726371" w:rsidTr="00360B79">
        <w:tc>
          <w:tcPr>
            <w:tcW w:w="1985" w:type="dxa"/>
            <w:shd w:val="clear" w:color="auto" w:fill="92CDDC" w:themeFill="accent5" w:themeFillTint="99"/>
            <w:tcMar>
              <w:top w:w="57" w:type="dxa"/>
              <w:left w:w="57" w:type="dxa"/>
              <w:bottom w:w="57" w:type="dxa"/>
              <w:right w:w="57" w:type="dxa"/>
            </w:tcMar>
          </w:tcPr>
          <w:p w:rsidR="00F72FB8" w:rsidRPr="00360B79" w:rsidRDefault="00F72FB8" w:rsidP="00A008A2">
            <w:pPr>
              <w:spacing w:after="0" w:line="240" w:lineRule="auto"/>
              <w:rPr>
                <w:rFonts w:ascii="Times New Roman" w:eastAsiaTheme="minorHAnsi" w:hAnsi="Times New Roman"/>
                <w:sz w:val="20"/>
                <w:szCs w:val="24"/>
                <w:lang w:val="en-US"/>
              </w:rPr>
            </w:pPr>
            <w:r w:rsidRPr="00360B79">
              <w:rPr>
                <w:rFonts w:ascii="Times New Roman" w:eastAsiaTheme="minorHAnsi" w:hAnsi="Times New Roman"/>
                <w:sz w:val="20"/>
                <w:szCs w:val="24"/>
                <w:lang w:val="en-US"/>
              </w:rPr>
              <w:t>Teaching and Learning Methods</w:t>
            </w:r>
          </w:p>
        </w:tc>
        <w:tc>
          <w:tcPr>
            <w:tcW w:w="9179" w:type="dxa"/>
            <w:gridSpan w:val="3"/>
            <w:tcMar>
              <w:top w:w="57" w:type="dxa"/>
              <w:left w:w="57" w:type="dxa"/>
              <w:bottom w:w="57" w:type="dxa"/>
              <w:right w:w="57" w:type="dxa"/>
            </w:tcMar>
          </w:tcPr>
          <w:p w:rsidR="00F72FB8" w:rsidRPr="00360B79" w:rsidRDefault="00F72FB8" w:rsidP="006A1F3B">
            <w:pPr>
              <w:spacing w:after="0" w:line="240" w:lineRule="auto"/>
              <w:rPr>
                <w:rFonts w:ascii="Times New Roman" w:eastAsiaTheme="minorHAnsi" w:hAnsi="Times New Roman"/>
                <w:sz w:val="20"/>
                <w:szCs w:val="24"/>
                <w:lang w:val="en-US"/>
              </w:rPr>
            </w:pPr>
            <w:r w:rsidRPr="00360B79">
              <w:rPr>
                <w:rFonts w:ascii="Times New Roman" w:hAnsi="Times New Roman"/>
                <w:sz w:val="20"/>
                <w:szCs w:val="24"/>
                <w:lang w:val="en-US"/>
              </w:rPr>
              <w:t>The course consists of lectures (</w:t>
            </w:r>
            <w:r w:rsidR="00652AC6" w:rsidRPr="00360B79">
              <w:rPr>
                <w:rFonts w:ascii="Times New Roman" w:hAnsi="Times New Roman"/>
                <w:sz w:val="20"/>
                <w:szCs w:val="24"/>
                <w:lang w:val="en-US"/>
              </w:rPr>
              <w:t>4</w:t>
            </w:r>
            <w:r w:rsidR="006A1F3B" w:rsidRPr="00360B79">
              <w:rPr>
                <w:rFonts w:ascii="Times New Roman" w:hAnsi="Times New Roman"/>
                <w:sz w:val="20"/>
                <w:szCs w:val="24"/>
                <w:lang w:val="en-US"/>
              </w:rPr>
              <w:t>0</w:t>
            </w:r>
            <w:r w:rsidR="00652AC6" w:rsidRPr="00360B79">
              <w:rPr>
                <w:rFonts w:ascii="Times New Roman" w:hAnsi="Times New Roman"/>
                <w:sz w:val="20"/>
                <w:szCs w:val="24"/>
                <w:lang w:val="en-US"/>
              </w:rPr>
              <w:t xml:space="preserve"> h</w:t>
            </w:r>
            <w:r w:rsidR="001D0D6A" w:rsidRPr="00360B79">
              <w:rPr>
                <w:rFonts w:ascii="Times New Roman" w:hAnsi="Times New Roman"/>
                <w:sz w:val="20"/>
                <w:szCs w:val="24"/>
                <w:lang w:val="en-US"/>
              </w:rPr>
              <w:t>ours) and s</w:t>
            </w:r>
            <w:r w:rsidR="00652AC6" w:rsidRPr="00360B79">
              <w:rPr>
                <w:rFonts w:ascii="Times New Roman" w:hAnsi="Times New Roman"/>
                <w:sz w:val="20"/>
                <w:szCs w:val="24"/>
                <w:lang w:val="en-US"/>
              </w:rPr>
              <w:t>eminars (</w:t>
            </w:r>
            <w:r w:rsidR="006A1F3B" w:rsidRPr="00360B79">
              <w:rPr>
                <w:rFonts w:ascii="Times New Roman" w:hAnsi="Times New Roman"/>
                <w:sz w:val="20"/>
                <w:szCs w:val="24"/>
                <w:lang w:val="en-US"/>
              </w:rPr>
              <w:t>38</w:t>
            </w:r>
            <w:r w:rsidRPr="00360B79">
              <w:rPr>
                <w:rFonts w:ascii="Times New Roman" w:hAnsi="Times New Roman"/>
                <w:sz w:val="20"/>
                <w:szCs w:val="24"/>
                <w:lang w:val="en-US"/>
              </w:rPr>
              <w:t xml:space="preserve"> hours). </w:t>
            </w:r>
          </w:p>
        </w:tc>
      </w:tr>
      <w:tr w:rsidR="00F72FB8" w:rsidRPr="00726371" w:rsidTr="00360B79">
        <w:tc>
          <w:tcPr>
            <w:tcW w:w="1985" w:type="dxa"/>
            <w:shd w:val="clear" w:color="auto" w:fill="92CDDC" w:themeFill="accent5" w:themeFillTint="99"/>
            <w:tcMar>
              <w:top w:w="57" w:type="dxa"/>
              <w:left w:w="57" w:type="dxa"/>
              <w:bottom w:w="57" w:type="dxa"/>
              <w:right w:w="57" w:type="dxa"/>
            </w:tcMar>
          </w:tcPr>
          <w:p w:rsidR="00F72FB8" w:rsidRPr="00360B79" w:rsidRDefault="00F72FB8" w:rsidP="00A008A2">
            <w:pPr>
              <w:spacing w:after="0" w:line="240" w:lineRule="auto"/>
              <w:rPr>
                <w:rFonts w:ascii="Times New Roman" w:eastAsiaTheme="minorHAnsi" w:hAnsi="Times New Roman"/>
                <w:sz w:val="20"/>
                <w:szCs w:val="24"/>
                <w:lang w:val="en-US"/>
              </w:rPr>
            </w:pPr>
            <w:r w:rsidRPr="00360B79">
              <w:rPr>
                <w:rFonts w:ascii="Times New Roman" w:eastAsiaTheme="minorHAnsi" w:hAnsi="Times New Roman"/>
                <w:sz w:val="20"/>
                <w:szCs w:val="24"/>
                <w:lang w:val="en-US"/>
              </w:rPr>
              <w:t>Indicative Assessment Methods and Strategy</w:t>
            </w:r>
          </w:p>
        </w:tc>
        <w:tc>
          <w:tcPr>
            <w:tcW w:w="9179" w:type="dxa"/>
            <w:gridSpan w:val="3"/>
            <w:tcMar>
              <w:top w:w="57" w:type="dxa"/>
              <w:left w:w="57" w:type="dxa"/>
              <w:bottom w:w="57" w:type="dxa"/>
              <w:right w:w="57" w:type="dxa"/>
            </w:tcMar>
          </w:tcPr>
          <w:p w:rsidR="005C137A" w:rsidRPr="00360B79" w:rsidRDefault="005C137A" w:rsidP="005C137A">
            <w:pPr>
              <w:pStyle w:val="a5"/>
              <w:jc w:val="both"/>
              <w:rPr>
                <w:rFonts w:ascii="Times New Roman" w:hAnsi="Times New Roman"/>
                <w:sz w:val="20"/>
                <w:szCs w:val="24"/>
                <w:lang w:val="en-US" w:eastAsia="en-GB"/>
              </w:rPr>
            </w:pPr>
            <w:r w:rsidRPr="00360B79">
              <w:rPr>
                <w:rFonts w:ascii="Times New Roman" w:hAnsi="Times New Roman"/>
                <w:sz w:val="20"/>
                <w:szCs w:val="24"/>
                <w:lang w:val="en-US" w:eastAsia="en-GB"/>
              </w:rPr>
              <w:t>The grade will be composed of attendance, class participation, team work assignment and presentation of results, written essay and the oral exam.</w:t>
            </w:r>
          </w:p>
          <w:p w:rsidR="00F72FB8" w:rsidRPr="00360B79" w:rsidRDefault="005C137A" w:rsidP="005C137A">
            <w:pPr>
              <w:pStyle w:val="a5"/>
              <w:jc w:val="both"/>
              <w:rPr>
                <w:rFonts w:ascii="Times New Roman" w:hAnsi="Times New Roman"/>
                <w:sz w:val="20"/>
                <w:szCs w:val="24"/>
                <w:lang w:val="en-US" w:eastAsia="en-GB"/>
              </w:rPr>
            </w:pPr>
            <w:r w:rsidRPr="00360B79">
              <w:rPr>
                <w:rFonts w:ascii="Times New Roman" w:hAnsi="Times New Roman"/>
                <w:sz w:val="20"/>
                <w:szCs w:val="24"/>
                <w:lang w:val="en-US" w:eastAsia="en-GB"/>
              </w:rPr>
              <w:t>The final grade is drawn on the 10-grades scale. The final grade’s composition will be the following: oral examination (20%); coursework (80%).</w:t>
            </w:r>
          </w:p>
        </w:tc>
      </w:tr>
      <w:tr w:rsidR="00F72FB8" w:rsidRPr="00360B79" w:rsidTr="00360B79">
        <w:tc>
          <w:tcPr>
            <w:tcW w:w="1985" w:type="dxa"/>
            <w:shd w:val="clear" w:color="auto" w:fill="92CDDC" w:themeFill="accent5" w:themeFillTint="99"/>
            <w:tcMar>
              <w:top w:w="57" w:type="dxa"/>
              <w:left w:w="57" w:type="dxa"/>
              <w:bottom w:w="57" w:type="dxa"/>
              <w:right w:w="57" w:type="dxa"/>
            </w:tcMar>
          </w:tcPr>
          <w:p w:rsidR="00F72FB8" w:rsidRPr="00360B79" w:rsidRDefault="00F72FB8" w:rsidP="00A008A2">
            <w:pPr>
              <w:spacing w:after="0" w:line="240" w:lineRule="auto"/>
              <w:rPr>
                <w:rFonts w:ascii="Times New Roman" w:eastAsiaTheme="minorHAnsi" w:hAnsi="Times New Roman"/>
                <w:sz w:val="20"/>
                <w:szCs w:val="24"/>
                <w:lang w:val="en-US"/>
              </w:rPr>
            </w:pPr>
            <w:r w:rsidRPr="00360B79">
              <w:rPr>
                <w:rFonts w:ascii="Times New Roman" w:eastAsiaTheme="minorHAnsi" w:hAnsi="Times New Roman"/>
                <w:sz w:val="20"/>
                <w:szCs w:val="24"/>
                <w:lang w:val="en-US"/>
              </w:rPr>
              <w:t>Readings / Indicative Learning Resources</w:t>
            </w:r>
          </w:p>
          <w:p w:rsidR="00F72FB8" w:rsidRPr="00360B79" w:rsidRDefault="00F72FB8" w:rsidP="00A008A2">
            <w:pPr>
              <w:spacing w:after="0" w:line="240" w:lineRule="auto"/>
              <w:rPr>
                <w:rFonts w:ascii="Times New Roman" w:eastAsiaTheme="minorHAnsi" w:hAnsi="Times New Roman"/>
                <w:sz w:val="20"/>
                <w:szCs w:val="24"/>
                <w:lang w:val="en-US"/>
              </w:rPr>
            </w:pPr>
          </w:p>
          <w:p w:rsidR="00F72FB8" w:rsidRPr="00360B79" w:rsidRDefault="00F72FB8" w:rsidP="00A008A2">
            <w:pPr>
              <w:spacing w:after="0" w:line="240" w:lineRule="auto"/>
              <w:rPr>
                <w:rFonts w:ascii="Times New Roman" w:eastAsiaTheme="minorHAnsi" w:hAnsi="Times New Roman"/>
                <w:sz w:val="20"/>
                <w:szCs w:val="24"/>
                <w:lang w:val="en-US"/>
              </w:rPr>
            </w:pPr>
          </w:p>
        </w:tc>
        <w:tc>
          <w:tcPr>
            <w:tcW w:w="9179" w:type="dxa"/>
            <w:gridSpan w:val="3"/>
            <w:tcMar>
              <w:top w:w="57" w:type="dxa"/>
              <w:left w:w="57" w:type="dxa"/>
              <w:bottom w:w="57" w:type="dxa"/>
              <w:right w:w="57" w:type="dxa"/>
            </w:tcMar>
          </w:tcPr>
          <w:p w:rsidR="00D203BB" w:rsidRPr="00360B79" w:rsidRDefault="00D203BB" w:rsidP="00D203BB">
            <w:pPr>
              <w:autoSpaceDE w:val="0"/>
              <w:autoSpaceDN w:val="0"/>
              <w:adjustRightInd w:val="0"/>
              <w:spacing w:after="27" w:line="240" w:lineRule="auto"/>
              <w:rPr>
                <w:rFonts w:ascii="Times New Roman" w:eastAsiaTheme="minorHAnsi" w:hAnsi="Times New Roman"/>
                <w:color w:val="000000"/>
                <w:sz w:val="20"/>
                <w:szCs w:val="23"/>
                <w:lang w:val="en-US"/>
              </w:rPr>
            </w:pPr>
            <w:r w:rsidRPr="00360B79">
              <w:rPr>
                <w:rFonts w:ascii="Times New Roman" w:eastAsiaTheme="minorHAnsi" w:hAnsi="Times New Roman"/>
                <w:color w:val="000000"/>
                <w:sz w:val="20"/>
                <w:szCs w:val="23"/>
                <w:lang w:val="en-US"/>
              </w:rPr>
              <w:t xml:space="preserve">1. </w:t>
            </w:r>
            <w:proofErr w:type="spellStart"/>
            <w:r w:rsidRPr="00360B79">
              <w:rPr>
                <w:rFonts w:ascii="Times New Roman" w:eastAsiaTheme="minorHAnsi" w:hAnsi="Times New Roman"/>
                <w:color w:val="000000"/>
                <w:sz w:val="20"/>
                <w:szCs w:val="23"/>
                <w:lang w:val="en-US"/>
              </w:rPr>
              <w:t>Arlov</w:t>
            </w:r>
            <w:proofErr w:type="spellEnd"/>
            <w:r w:rsidRPr="00360B79">
              <w:rPr>
                <w:rFonts w:ascii="Times New Roman" w:eastAsiaTheme="minorHAnsi" w:hAnsi="Times New Roman"/>
                <w:color w:val="000000"/>
                <w:sz w:val="20"/>
                <w:szCs w:val="23"/>
                <w:lang w:val="en-US"/>
              </w:rPr>
              <w:t xml:space="preserve">, Thor B. The Discovery and Early Exploitation of Svalbard. Some Historiographical Notes // </w:t>
            </w:r>
            <w:proofErr w:type="spellStart"/>
            <w:r w:rsidRPr="00360B79">
              <w:rPr>
                <w:rFonts w:ascii="Times New Roman" w:eastAsiaTheme="minorHAnsi" w:hAnsi="Times New Roman"/>
                <w:i/>
                <w:iCs/>
                <w:color w:val="000000"/>
                <w:sz w:val="20"/>
                <w:szCs w:val="23"/>
                <w:lang w:val="en-US"/>
              </w:rPr>
              <w:t>Acta</w:t>
            </w:r>
            <w:proofErr w:type="spellEnd"/>
            <w:r w:rsidRPr="00360B79">
              <w:rPr>
                <w:rFonts w:ascii="Times New Roman" w:eastAsiaTheme="minorHAnsi" w:hAnsi="Times New Roman"/>
                <w:i/>
                <w:iCs/>
                <w:color w:val="000000"/>
                <w:sz w:val="20"/>
                <w:szCs w:val="23"/>
                <w:lang w:val="en-US"/>
              </w:rPr>
              <w:t xml:space="preserve"> </w:t>
            </w:r>
            <w:proofErr w:type="spellStart"/>
            <w:r w:rsidRPr="00360B79">
              <w:rPr>
                <w:rFonts w:ascii="Times New Roman" w:eastAsiaTheme="minorHAnsi" w:hAnsi="Times New Roman"/>
                <w:i/>
                <w:iCs/>
                <w:color w:val="000000"/>
                <w:sz w:val="20"/>
                <w:szCs w:val="23"/>
                <w:lang w:val="en-US"/>
              </w:rPr>
              <w:t>Borealia</w:t>
            </w:r>
            <w:proofErr w:type="spellEnd"/>
            <w:r w:rsidRPr="00360B79">
              <w:rPr>
                <w:rFonts w:ascii="Times New Roman" w:eastAsiaTheme="minorHAnsi" w:hAnsi="Times New Roman"/>
                <w:i/>
                <w:iCs/>
                <w:color w:val="000000"/>
                <w:sz w:val="20"/>
                <w:szCs w:val="23"/>
                <w:lang w:val="en-US"/>
              </w:rPr>
              <w:t xml:space="preserve"> </w:t>
            </w:r>
            <w:r w:rsidRPr="00360B79">
              <w:rPr>
                <w:rFonts w:ascii="Times New Roman" w:eastAsiaTheme="minorHAnsi" w:hAnsi="Times New Roman"/>
                <w:color w:val="000000"/>
                <w:sz w:val="20"/>
                <w:szCs w:val="23"/>
                <w:lang w:val="en-US"/>
              </w:rPr>
              <w:t xml:space="preserve">2005, vol. 22: 3 -19. </w:t>
            </w:r>
          </w:p>
          <w:p w:rsidR="00D203BB" w:rsidRPr="00360B79" w:rsidRDefault="00D203BB" w:rsidP="00D203BB">
            <w:pPr>
              <w:autoSpaceDE w:val="0"/>
              <w:autoSpaceDN w:val="0"/>
              <w:adjustRightInd w:val="0"/>
              <w:spacing w:after="27" w:line="240" w:lineRule="auto"/>
              <w:rPr>
                <w:rFonts w:ascii="Times New Roman" w:eastAsiaTheme="minorHAnsi" w:hAnsi="Times New Roman"/>
                <w:color w:val="000000"/>
                <w:sz w:val="20"/>
                <w:szCs w:val="23"/>
                <w:lang w:val="en-US"/>
              </w:rPr>
            </w:pPr>
            <w:r w:rsidRPr="00360B79">
              <w:rPr>
                <w:rFonts w:ascii="Times New Roman" w:eastAsiaTheme="minorHAnsi" w:hAnsi="Times New Roman"/>
                <w:color w:val="000000"/>
                <w:sz w:val="20"/>
                <w:szCs w:val="23"/>
                <w:lang w:val="en-US"/>
              </w:rPr>
              <w:t xml:space="preserve">2. </w:t>
            </w:r>
            <w:proofErr w:type="spellStart"/>
            <w:r w:rsidRPr="00360B79">
              <w:rPr>
                <w:rFonts w:ascii="Times New Roman" w:eastAsiaTheme="minorHAnsi" w:hAnsi="Times New Roman"/>
                <w:color w:val="000000"/>
                <w:sz w:val="20"/>
                <w:szCs w:val="23"/>
                <w:lang w:val="en-US"/>
              </w:rPr>
              <w:t>Avango</w:t>
            </w:r>
            <w:proofErr w:type="spellEnd"/>
            <w:r w:rsidRPr="00360B79">
              <w:rPr>
                <w:rFonts w:ascii="Times New Roman" w:eastAsiaTheme="minorHAnsi" w:hAnsi="Times New Roman"/>
                <w:color w:val="000000"/>
                <w:sz w:val="20"/>
                <w:szCs w:val="23"/>
                <w:lang w:val="en-US"/>
              </w:rPr>
              <w:t xml:space="preserve">, D., Nilsson A., Roberts </w:t>
            </w:r>
            <w:proofErr w:type="gramStart"/>
            <w:r w:rsidRPr="00360B79">
              <w:rPr>
                <w:rFonts w:ascii="Times New Roman" w:eastAsiaTheme="minorHAnsi" w:hAnsi="Times New Roman"/>
                <w:color w:val="000000"/>
                <w:sz w:val="20"/>
                <w:szCs w:val="23"/>
                <w:lang w:val="en-US"/>
              </w:rPr>
              <w:t>P..</w:t>
            </w:r>
            <w:proofErr w:type="gramEnd"/>
            <w:r w:rsidRPr="00360B79">
              <w:rPr>
                <w:rFonts w:ascii="Times New Roman" w:eastAsiaTheme="minorHAnsi" w:hAnsi="Times New Roman"/>
                <w:color w:val="000000"/>
                <w:sz w:val="20"/>
                <w:szCs w:val="23"/>
                <w:lang w:val="en-US"/>
              </w:rPr>
              <w:t xml:space="preserve"> Assessing Arctic futures: voices, resources and governance // </w:t>
            </w:r>
            <w:r w:rsidRPr="00360B79">
              <w:rPr>
                <w:rFonts w:ascii="Times New Roman" w:eastAsiaTheme="minorHAnsi" w:hAnsi="Times New Roman"/>
                <w:i/>
                <w:iCs/>
                <w:color w:val="000000"/>
                <w:sz w:val="20"/>
                <w:szCs w:val="23"/>
                <w:lang w:val="en-US"/>
              </w:rPr>
              <w:t xml:space="preserve">The Polar Journal </w:t>
            </w:r>
            <w:r w:rsidRPr="00360B79">
              <w:rPr>
                <w:rFonts w:ascii="Times New Roman" w:eastAsiaTheme="minorHAnsi" w:hAnsi="Times New Roman"/>
                <w:color w:val="000000"/>
                <w:sz w:val="20"/>
                <w:szCs w:val="23"/>
                <w:lang w:val="en-US"/>
              </w:rPr>
              <w:t xml:space="preserve">2013. DOI:10.1080/2154896X.2013.790197 </w:t>
            </w:r>
          </w:p>
          <w:p w:rsidR="00D203BB" w:rsidRPr="00360B79" w:rsidRDefault="00D203BB" w:rsidP="00D203BB">
            <w:pPr>
              <w:autoSpaceDE w:val="0"/>
              <w:autoSpaceDN w:val="0"/>
              <w:adjustRightInd w:val="0"/>
              <w:spacing w:after="27" w:line="240" w:lineRule="auto"/>
              <w:rPr>
                <w:rFonts w:ascii="Times New Roman" w:eastAsiaTheme="minorHAnsi" w:hAnsi="Times New Roman"/>
                <w:color w:val="000000"/>
                <w:sz w:val="20"/>
                <w:szCs w:val="23"/>
                <w:lang w:val="en-US"/>
              </w:rPr>
            </w:pPr>
            <w:r w:rsidRPr="00360B79">
              <w:rPr>
                <w:rFonts w:ascii="Times New Roman" w:eastAsiaTheme="minorHAnsi" w:hAnsi="Times New Roman"/>
                <w:color w:val="000000"/>
                <w:sz w:val="20"/>
                <w:szCs w:val="23"/>
                <w:lang w:val="en-US"/>
              </w:rPr>
              <w:t xml:space="preserve">3. </w:t>
            </w:r>
            <w:proofErr w:type="spellStart"/>
            <w:r w:rsidRPr="00360B79">
              <w:rPr>
                <w:rFonts w:ascii="Times New Roman" w:eastAsiaTheme="minorHAnsi" w:hAnsi="Times New Roman"/>
                <w:color w:val="000000"/>
                <w:sz w:val="20"/>
                <w:szCs w:val="23"/>
                <w:lang w:val="en-US"/>
              </w:rPr>
              <w:t>Doel</w:t>
            </w:r>
            <w:proofErr w:type="spellEnd"/>
            <w:r w:rsidRPr="00360B79">
              <w:rPr>
                <w:rFonts w:ascii="Times New Roman" w:eastAsiaTheme="minorHAnsi" w:hAnsi="Times New Roman"/>
                <w:color w:val="000000"/>
                <w:sz w:val="20"/>
                <w:szCs w:val="23"/>
                <w:lang w:val="en-US"/>
              </w:rPr>
              <w:t xml:space="preserve">, Ron, Robert Marc Friedman, Julia </w:t>
            </w:r>
            <w:proofErr w:type="spellStart"/>
            <w:r w:rsidRPr="00360B79">
              <w:rPr>
                <w:rFonts w:ascii="Times New Roman" w:eastAsiaTheme="minorHAnsi" w:hAnsi="Times New Roman"/>
                <w:color w:val="000000"/>
                <w:sz w:val="20"/>
                <w:szCs w:val="23"/>
                <w:lang w:val="en-US"/>
              </w:rPr>
              <w:t>Lajus</w:t>
            </w:r>
            <w:proofErr w:type="spellEnd"/>
            <w:r w:rsidRPr="00360B79">
              <w:rPr>
                <w:rFonts w:ascii="Times New Roman" w:eastAsiaTheme="minorHAnsi" w:hAnsi="Times New Roman"/>
                <w:color w:val="000000"/>
                <w:sz w:val="20"/>
                <w:szCs w:val="23"/>
                <w:lang w:val="en-US"/>
              </w:rPr>
              <w:t xml:space="preserve">, </w:t>
            </w:r>
            <w:proofErr w:type="spellStart"/>
            <w:r w:rsidRPr="00360B79">
              <w:rPr>
                <w:rFonts w:ascii="Times New Roman" w:eastAsiaTheme="minorHAnsi" w:hAnsi="Times New Roman"/>
                <w:color w:val="000000"/>
                <w:sz w:val="20"/>
                <w:szCs w:val="23"/>
                <w:lang w:val="en-US"/>
              </w:rPr>
              <w:t>Sverker</w:t>
            </w:r>
            <w:proofErr w:type="spellEnd"/>
            <w:r w:rsidRPr="00360B79">
              <w:rPr>
                <w:rFonts w:ascii="Times New Roman" w:eastAsiaTheme="minorHAnsi" w:hAnsi="Times New Roman"/>
                <w:color w:val="000000"/>
                <w:sz w:val="20"/>
                <w:szCs w:val="23"/>
                <w:lang w:val="en-US"/>
              </w:rPr>
              <w:t xml:space="preserve"> </w:t>
            </w:r>
            <w:proofErr w:type="spellStart"/>
            <w:r w:rsidRPr="00360B79">
              <w:rPr>
                <w:rFonts w:ascii="Times New Roman" w:eastAsiaTheme="minorHAnsi" w:hAnsi="Times New Roman"/>
                <w:color w:val="000000"/>
                <w:sz w:val="20"/>
                <w:szCs w:val="23"/>
                <w:lang w:val="en-US"/>
              </w:rPr>
              <w:t>Sorlin</w:t>
            </w:r>
            <w:proofErr w:type="spellEnd"/>
            <w:r w:rsidRPr="00360B79">
              <w:rPr>
                <w:rFonts w:ascii="Times New Roman" w:eastAsiaTheme="minorHAnsi" w:hAnsi="Times New Roman"/>
                <w:color w:val="000000"/>
                <w:sz w:val="20"/>
                <w:szCs w:val="23"/>
                <w:lang w:val="en-US"/>
              </w:rPr>
              <w:t xml:space="preserve">, Urban </w:t>
            </w:r>
            <w:proofErr w:type="spellStart"/>
            <w:r w:rsidRPr="00360B79">
              <w:rPr>
                <w:rFonts w:ascii="Times New Roman" w:eastAsiaTheme="minorHAnsi" w:hAnsi="Times New Roman"/>
                <w:color w:val="000000"/>
                <w:sz w:val="20"/>
                <w:szCs w:val="23"/>
                <w:lang w:val="en-US"/>
              </w:rPr>
              <w:t>Wrakberg</w:t>
            </w:r>
            <w:proofErr w:type="spellEnd"/>
            <w:r w:rsidRPr="00360B79">
              <w:rPr>
                <w:rFonts w:ascii="Times New Roman" w:eastAsiaTheme="minorHAnsi" w:hAnsi="Times New Roman"/>
                <w:color w:val="000000"/>
                <w:sz w:val="20"/>
                <w:szCs w:val="23"/>
                <w:lang w:val="en-US"/>
              </w:rPr>
              <w:t xml:space="preserve">. Strategic Arctic science: national interests in building natural knowledge - interwar era through the Cold War // </w:t>
            </w:r>
            <w:r w:rsidRPr="00360B79">
              <w:rPr>
                <w:rFonts w:ascii="Times New Roman" w:eastAsiaTheme="minorHAnsi" w:hAnsi="Times New Roman"/>
                <w:i/>
                <w:iCs/>
                <w:color w:val="000000"/>
                <w:sz w:val="20"/>
                <w:szCs w:val="23"/>
                <w:lang w:val="en-US"/>
              </w:rPr>
              <w:t xml:space="preserve">Journal of Historical Geography </w:t>
            </w:r>
            <w:r w:rsidRPr="00360B79">
              <w:rPr>
                <w:rFonts w:ascii="Times New Roman" w:eastAsiaTheme="minorHAnsi" w:hAnsi="Times New Roman"/>
                <w:color w:val="000000"/>
                <w:sz w:val="20"/>
                <w:szCs w:val="23"/>
                <w:lang w:val="en-US"/>
              </w:rPr>
              <w:t xml:space="preserve">2014, 44: 60-80. http://dx.doi.org/10.1016/j.jhg.2013.12.004 </w:t>
            </w:r>
          </w:p>
          <w:p w:rsidR="00D203BB" w:rsidRPr="00360B79" w:rsidRDefault="00D203BB" w:rsidP="00D203BB">
            <w:pPr>
              <w:autoSpaceDE w:val="0"/>
              <w:autoSpaceDN w:val="0"/>
              <w:adjustRightInd w:val="0"/>
              <w:spacing w:after="27" w:line="240" w:lineRule="auto"/>
              <w:rPr>
                <w:rFonts w:ascii="Times New Roman" w:eastAsiaTheme="minorHAnsi" w:hAnsi="Times New Roman"/>
                <w:color w:val="000000"/>
                <w:sz w:val="20"/>
                <w:szCs w:val="23"/>
                <w:lang w:val="en-US"/>
              </w:rPr>
            </w:pPr>
            <w:r w:rsidRPr="00360B79">
              <w:rPr>
                <w:rFonts w:ascii="Times New Roman" w:eastAsiaTheme="minorHAnsi" w:hAnsi="Times New Roman"/>
                <w:color w:val="000000"/>
                <w:sz w:val="20"/>
                <w:szCs w:val="23"/>
                <w:lang w:val="en-US"/>
              </w:rPr>
              <w:t xml:space="preserve">4. </w:t>
            </w:r>
            <w:proofErr w:type="spellStart"/>
            <w:r w:rsidRPr="00360B79">
              <w:rPr>
                <w:rFonts w:ascii="Times New Roman" w:eastAsiaTheme="minorHAnsi" w:hAnsi="Times New Roman"/>
                <w:color w:val="000000"/>
                <w:sz w:val="20"/>
                <w:szCs w:val="23"/>
                <w:lang w:val="en-US"/>
              </w:rPr>
              <w:t>Farish</w:t>
            </w:r>
            <w:proofErr w:type="spellEnd"/>
            <w:r w:rsidRPr="00360B79">
              <w:rPr>
                <w:rFonts w:ascii="Times New Roman" w:eastAsiaTheme="minorHAnsi" w:hAnsi="Times New Roman"/>
                <w:color w:val="000000"/>
                <w:sz w:val="20"/>
                <w:szCs w:val="23"/>
                <w:lang w:val="en-US"/>
              </w:rPr>
              <w:t xml:space="preserve">, Matthew and </w:t>
            </w:r>
            <w:proofErr w:type="spellStart"/>
            <w:r w:rsidRPr="00360B79">
              <w:rPr>
                <w:rFonts w:ascii="Times New Roman" w:eastAsiaTheme="minorHAnsi" w:hAnsi="Times New Roman"/>
                <w:color w:val="000000"/>
                <w:sz w:val="20"/>
                <w:szCs w:val="23"/>
                <w:lang w:val="en-US"/>
              </w:rPr>
              <w:t>Lackenbauer</w:t>
            </w:r>
            <w:proofErr w:type="spellEnd"/>
            <w:r w:rsidRPr="00360B79">
              <w:rPr>
                <w:rFonts w:ascii="Times New Roman" w:eastAsiaTheme="minorHAnsi" w:hAnsi="Times New Roman"/>
                <w:color w:val="000000"/>
                <w:sz w:val="20"/>
                <w:szCs w:val="23"/>
                <w:lang w:val="en-US"/>
              </w:rPr>
              <w:t xml:space="preserve"> Whitney P. High modernism in the Arctic: planning Frobisher Bay and Inuvik // </w:t>
            </w:r>
            <w:r w:rsidRPr="00360B79">
              <w:rPr>
                <w:rFonts w:ascii="Times New Roman" w:eastAsiaTheme="minorHAnsi" w:hAnsi="Times New Roman"/>
                <w:i/>
                <w:iCs/>
                <w:color w:val="000000"/>
                <w:sz w:val="20"/>
                <w:szCs w:val="23"/>
                <w:lang w:val="en-US"/>
              </w:rPr>
              <w:t xml:space="preserve">Journal of Historical Geography </w:t>
            </w:r>
            <w:r w:rsidRPr="00360B79">
              <w:rPr>
                <w:rFonts w:ascii="Times New Roman" w:eastAsiaTheme="minorHAnsi" w:hAnsi="Times New Roman"/>
                <w:color w:val="000000"/>
                <w:sz w:val="20"/>
                <w:szCs w:val="23"/>
                <w:lang w:val="en-US"/>
              </w:rPr>
              <w:t xml:space="preserve">2009, vol. 35: 517–544. </w:t>
            </w:r>
          </w:p>
          <w:p w:rsidR="00D203BB" w:rsidRPr="00360B79" w:rsidRDefault="00D203BB" w:rsidP="00D203BB">
            <w:pPr>
              <w:autoSpaceDE w:val="0"/>
              <w:autoSpaceDN w:val="0"/>
              <w:adjustRightInd w:val="0"/>
              <w:spacing w:after="0" w:line="240" w:lineRule="auto"/>
              <w:rPr>
                <w:rFonts w:ascii="Times New Roman" w:eastAsiaTheme="minorHAnsi" w:hAnsi="Times New Roman"/>
                <w:color w:val="000000"/>
                <w:sz w:val="20"/>
                <w:szCs w:val="23"/>
                <w:lang w:val="en-US"/>
              </w:rPr>
            </w:pPr>
            <w:r w:rsidRPr="00360B79">
              <w:rPr>
                <w:rFonts w:ascii="Times New Roman" w:eastAsiaTheme="minorHAnsi" w:hAnsi="Times New Roman"/>
                <w:color w:val="000000"/>
                <w:sz w:val="20"/>
                <w:szCs w:val="23"/>
                <w:lang w:val="en-US"/>
              </w:rPr>
              <w:t xml:space="preserve">5. </w:t>
            </w:r>
            <w:proofErr w:type="spellStart"/>
            <w:r w:rsidRPr="00360B79">
              <w:rPr>
                <w:rFonts w:ascii="Times New Roman" w:eastAsiaTheme="minorHAnsi" w:hAnsi="Times New Roman"/>
                <w:color w:val="000000"/>
                <w:sz w:val="20"/>
                <w:szCs w:val="23"/>
                <w:lang w:val="en-US"/>
              </w:rPr>
              <w:t>Granberg</w:t>
            </w:r>
            <w:proofErr w:type="spellEnd"/>
            <w:r w:rsidRPr="00360B79">
              <w:rPr>
                <w:rFonts w:ascii="Times New Roman" w:eastAsiaTheme="minorHAnsi" w:hAnsi="Times New Roman"/>
                <w:color w:val="000000"/>
                <w:sz w:val="20"/>
                <w:szCs w:val="23"/>
                <w:lang w:val="en-US"/>
              </w:rPr>
              <w:t xml:space="preserve">, Leo. Constructing the Barents Region: the play and the audience // </w:t>
            </w:r>
            <w:r w:rsidRPr="00360B79">
              <w:rPr>
                <w:rFonts w:ascii="Times New Roman" w:eastAsiaTheme="minorHAnsi" w:hAnsi="Times New Roman"/>
                <w:i/>
                <w:iCs/>
                <w:color w:val="000000"/>
                <w:sz w:val="20"/>
                <w:szCs w:val="23"/>
                <w:lang w:val="en-US"/>
              </w:rPr>
              <w:t>The Snowbelt. Studies of the European North in Transition</w:t>
            </w:r>
            <w:r w:rsidRPr="00360B79">
              <w:rPr>
                <w:rFonts w:ascii="Times New Roman" w:eastAsiaTheme="minorHAnsi" w:hAnsi="Times New Roman"/>
                <w:color w:val="000000"/>
                <w:sz w:val="20"/>
                <w:szCs w:val="23"/>
                <w:lang w:val="en-US"/>
              </w:rPr>
              <w:t xml:space="preserve">. Helsinki, 1998, pp. 231 – 261. </w:t>
            </w:r>
          </w:p>
          <w:p w:rsidR="00D203BB" w:rsidRPr="00360B79" w:rsidRDefault="00D203BB" w:rsidP="00D203BB">
            <w:pPr>
              <w:autoSpaceDE w:val="0"/>
              <w:autoSpaceDN w:val="0"/>
              <w:adjustRightInd w:val="0"/>
              <w:spacing w:after="27" w:line="240" w:lineRule="auto"/>
              <w:rPr>
                <w:rFonts w:ascii="Times New Roman" w:eastAsiaTheme="minorHAnsi" w:hAnsi="Times New Roman"/>
                <w:color w:val="000000"/>
                <w:sz w:val="20"/>
                <w:szCs w:val="23"/>
                <w:lang w:val="en-US"/>
              </w:rPr>
            </w:pPr>
            <w:r w:rsidRPr="00360B79">
              <w:rPr>
                <w:rFonts w:ascii="Times New Roman" w:eastAsiaTheme="minorHAnsi" w:hAnsi="Times New Roman"/>
                <w:color w:val="000000"/>
                <w:sz w:val="20"/>
                <w:szCs w:val="23"/>
                <w:lang w:val="en-US"/>
              </w:rPr>
              <w:t xml:space="preserve">6. </w:t>
            </w:r>
            <w:proofErr w:type="spellStart"/>
            <w:r w:rsidRPr="00360B79">
              <w:rPr>
                <w:rFonts w:ascii="Times New Roman" w:eastAsiaTheme="minorHAnsi" w:hAnsi="Times New Roman"/>
                <w:color w:val="000000"/>
                <w:sz w:val="20"/>
                <w:szCs w:val="23"/>
                <w:lang w:val="en-US"/>
              </w:rPr>
              <w:t>Lajus</w:t>
            </w:r>
            <w:proofErr w:type="spellEnd"/>
            <w:r w:rsidRPr="00360B79">
              <w:rPr>
                <w:rFonts w:ascii="Times New Roman" w:eastAsiaTheme="minorHAnsi" w:hAnsi="Times New Roman"/>
                <w:color w:val="000000"/>
                <w:sz w:val="20"/>
                <w:szCs w:val="23"/>
                <w:lang w:val="en-US"/>
              </w:rPr>
              <w:t xml:space="preserve">, Julia. Colonization of the Russian North: a Frozen Frontier // </w:t>
            </w:r>
            <w:r w:rsidRPr="00360B79">
              <w:rPr>
                <w:rFonts w:ascii="Times New Roman" w:eastAsiaTheme="minorHAnsi" w:hAnsi="Times New Roman"/>
                <w:i/>
                <w:iCs/>
                <w:color w:val="000000"/>
                <w:sz w:val="20"/>
                <w:szCs w:val="23"/>
                <w:lang w:val="en-US"/>
              </w:rPr>
              <w:t>Cultivating the Colony: Colonial States and their environmental legacies</w:t>
            </w:r>
            <w:r w:rsidRPr="00360B79">
              <w:rPr>
                <w:rFonts w:ascii="Times New Roman" w:eastAsiaTheme="minorHAnsi" w:hAnsi="Times New Roman"/>
                <w:color w:val="000000"/>
                <w:sz w:val="20"/>
                <w:szCs w:val="23"/>
                <w:lang w:val="en-US"/>
              </w:rPr>
              <w:t xml:space="preserve">. Athens OH, 2011, pp. 164 – 190. </w:t>
            </w:r>
          </w:p>
          <w:p w:rsidR="00D203BB" w:rsidRPr="00360B79" w:rsidRDefault="00D203BB" w:rsidP="00D203BB">
            <w:pPr>
              <w:autoSpaceDE w:val="0"/>
              <w:autoSpaceDN w:val="0"/>
              <w:adjustRightInd w:val="0"/>
              <w:spacing w:after="27" w:line="240" w:lineRule="auto"/>
              <w:rPr>
                <w:rFonts w:ascii="Times New Roman" w:eastAsiaTheme="minorHAnsi" w:hAnsi="Times New Roman"/>
                <w:color w:val="000000"/>
                <w:sz w:val="20"/>
                <w:szCs w:val="23"/>
                <w:lang w:val="en-US"/>
              </w:rPr>
            </w:pPr>
            <w:r w:rsidRPr="00360B79">
              <w:rPr>
                <w:rFonts w:ascii="Times New Roman" w:eastAsiaTheme="minorHAnsi" w:hAnsi="Times New Roman"/>
                <w:color w:val="000000"/>
                <w:sz w:val="20"/>
                <w:szCs w:val="23"/>
                <w:lang w:val="en-US"/>
              </w:rPr>
              <w:t xml:space="preserve">7. </w:t>
            </w:r>
            <w:r w:rsidRPr="00360B79">
              <w:rPr>
                <w:rFonts w:ascii="Times New Roman" w:eastAsiaTheme="minorHAnsi" w:hAnsi="Times New Roman"/>
                <w:i/>
                <w:iCs/>
                <w:color w:val="000000"/>
                <w:sz w:val="20"/>
                <w:szCs w:val="23"/>
                <w:lang w:val="en-US"/>
              </w:rPr>
              <w:t>Narrating the Arctic. A Cultural History of Nordic Scientific Practices</w:t>
            </w:r>
            <w:r w:rsidRPr="00360B79">
              <w:rPr>
                <w:rFonts w:ascii="Times New Roman" w:eastAsiaTheme="minorHAnsi" w:hAnsi="Times New Roman"/>
                <w:color w:val="000000"/>
                <w:sz w:val="20"/>
                <w:szCs w:val="23"/>
                <w:lang w:val="en-US"/>
              </w:rPr>
              <w:t xml:space="preserve">. Ed. by S. </w:t>
            </w:r>
            <w:proofErr w:type="spellStart"/>
            <w:r w:rsidRPr="00360B79">
              <w:rPr>
                <w:rFonts w:ascii="Times New Roman" w:eastAsiaTheme="minorHAnsi" w:hAnsi="Times New Roman"/>
                <w:color w:val="000000"/>
                <w:sz w:val="20"/>
                <w:szCs w:val="23"/>
                <w:lang w:val="en-US"/>
              </w:rPr>
              <w:t>Sorlin</w:t>
            </w:r>
            <w:proofErr w:type="spellEnd"/>
            <w:r w:rsidRPr="00360B79">
              <w:rPr>
                <w:rFonts w:ascii="Times New Roman" w:eastAsiaTheme="minorHAnsi" w:hAnsi="Times New Roman"/>
                <w:color w:val="000000"/>
                <w:sz w:val="20"/>
                <w:szCs w:val="23"/>
                <w:lang w:val="en-US"/>
              </w:rPr>
              <w:t xml:space="preserve"> &amp; M. Bravo. Canton, MA: Science History Publications, 2002. </w:t>
            </w:r>
          </w:p>
          <w:p w:rsidR="00F72FB8" w:rsidRPr="00360B79" w:rsidRDefault="00360B79" w:rsidP="00213753">
            <w:pPr>
              <w:autoSpaceDE w:val="0"/>
              <w:autoSpaceDN w:val="0"/>
              <w:adjustRightInd w:val="0"/>
              <w:spacing w:after="27" w:line="240" w:lineRule="auto"/>
              <w:rPr>
                <w:rFonts w:ascii="Times New Roman" w:eastAsiaTheme="minorHAnsi" w:hAnsi="Times New Roman"/>
                <w:color w:val="000000"/>
                <w:sz w:val="20"/>
                <w:szCs w:val="23"/>
                <w:lang w:val="en-US"/>
              </w:rPr>
            </w:pPr>
            <w:r w:rsidRPr="00360B79">
              <w:rPr>
                <w:rFonts w:ascii="Times New Roman" w:eastAsiaTheme="minorHAnsi" w:hAnsi="Times New Roman"/>
                <w:b/>
                <w:color w:val="000000"/>
                <w:sz w:val="20"/>
                <w:szCs w:val="23"/>
                <w:lang w:val="en-US"/>
              </w:rPr>
              <w:t>ETC</w:t>
            </w:r>
            <w:r>
              <w:rPr>
                <w:rFonts w:ascii="Times New Roman" w:eastAsiaTheme="minorHAnsi" w:hAnsi="Times New Roman"/>
                <w:color w:val="000000"/>
                <w:sz w:val="20"/>
                <w:szCs w:val="23"/>
                <w:lang w:val="en-US"/>
              </w:rPr>
              <w:t>.</w:t>
            </w:r>
            <w:r w:rsidR="00D203BB" w:rsidRPr="00360B79">
              <w:rPr>
                <w:rFonts w:ascii="Times New Roman" w:eastAsiaTheme="minorHAnsi" w:hAnsi="Times New Roman"/>
                <w:color w:val="000000"/>
                <w:sz w:val="20"/>
                <w:szCs w:val="23"/>
                <w:lang w:val="en-US"/>
              </w:rPr>
              <w:t xml:space="preserve"> </w:t>
            </w:r>
          </w:p>
        </w:tc>
      </w:tr>
      <w:tr w:rsidR="00F72FB8" w:rsidRPr="00360B79" w:rsidTr="00360B79">
        <w:tc>
          <w:tcPr>
            <w:tcW w:w="1985" w:type="dxa"/>
            <w:shd w:val="clear" w:color="auto" w:fill="92CDDC" w:themeFill="accent5" w:themeFillTint="99"/>
            <w:tcMar>
              <w:top w:w="57" w:type="dxa"/>
              <w:left w:w="57" w:type="dxa"/>
              <w:bottom w:w="57" w:type="dxa"/>
              <w:right w:w="57" w:type="dxa"/>
            </w:tcMar>
          </w:tcPr>
          <w:p w:rsidR="00F72FB8" w:rsidRPr="00360B79" w:rsidRDefault="00F72FB8" w:rsidP="00A008A2">
            <w:pPr>
              <w:spacing w:after="0" w:line="240" w:lineRule="auto"/>
              <w:rPr>
                <w:rFonts w:ascii="Times New Roman" w:eastAsiaTheme="minorHAnsi" w:hAnsi="Times New Roman"/>
                <w:sz w:val="20"/>
                <w:szCs w:val="24"/>
                <w:lang w:val="en-US"/>
              </w:rPr>
            </w:pPr>
            <w:r w:rsidRPr="00360B79">
              <w:rPr>
                <w:rFonts w:ascii="Times New Roman" w:eastAsiaTheme="minorHAnsi" w:hAnsi="Times New Roman"/>
                <w:sz w:val="20"/>
                <w:szCs w:val="24"/>
                <w:lang w:val="en-US"/>
              </w:rPr>
              <w:t>Course Instructor</w:t>
            </w:r>
          </w:p>
        </w:tc>
        <w:tc>
          <w:tcPr>
            <w:tcW w:w="9179" w:type="dxa"/>
            <w:gridSpan w:val="3"/>
            <w:tcMar>
              <w:top w:w="57" w:type="dxa"/>
              <w:left w:w="57" w:type="dxa"/>
              <w:bottom w:w="57" w:type="dxa"/>
              <w:right w:w="57" w:type="dxa"/>
            </w:tcMar>
          </w:tcPr>
          <w:p w:rsidR="00F72FB8" w:rsidRPr="00360B79" w:rsidRDefault="005D7C27" w:rsidP="001B794D">
            <w:pPr>
              <w:spacing w:after="0" w:line="240" w:lineRule="auto"/>
              <w:rPr>
                <w:rFonts w:ascii="Times New Roman" w:eastAsiaTheme="minorHAnsi" w:hAnsi="Times New Roman"/>
                <w:sz w:val="20"/>
                <w:szCs w:val="24"/>
                <w:lang w:val="en-US"/>
              </w:rPr>
            </w:pPr>
            <w:r w:rsidRPr="00360B79">
              <w:rPr>
                <w:rFonts w:ascii="Times New Roman" w:eastAsiaTheme="minorHAnsi" w:hAnsi="Times New Roman"/>
                <w:sz w:val="20"/>
                <w:szCs w:val="24"/>
                <w:lang w:val="en-US"/>
              </w:rPr>
              <w:t>Associate</w:t>
            </w:r>
            <w:r w:rsidR="00173E7C" w:rsidRPr="00360B79">
              <w:rPr>
                <w:rFonts w:ascii="Times New Roman" w:eastAsiaTheme="minorHAnsi" w:hAnsi="Times New Roman"/>
                <w:sz w:val="20"/>
                <w:szCs w:val="24"/>
                <w:lang w:val="en-US"/>
              </w:rPr>
              <w:t xml:space="preserve"> </w:t>
            </w:r>
            <w:r w:rsidRPr="00360B79">
              <w:rPr>
                <w:rFonts w:ascii="Times New Roman" w:eastAsiaTheme="minorHAnsi" w:hAnsi="Times New Roman"/>
                <w:sz w:val="20"/>
                <w:szCs w:val="24"/>
                <w:lang w:val="en-US"/>
              </w:rPr>
              <w:t>professor</w:t>
            </w:r>
            <w:r w:rsidR="00F72FB8" w:rsidRPr="00360B79">
              <w:rPr>
                <w:rFonts w:ascii="Times New Roman" w:eastAsiaTheme="minorHAnsi" w:hAnsi="Times New Roman"/>
                <w:sz w:val="20"/>
                <w:szCs w:val="24"/>
                <w:lang w:val="en-US"/>
              </w:rPr>
              <w:t xml:space="preserve"> </w:t>
            </w:r>
            <w:r w:rsidR="001B794D" w:rsidRPr="00360B79">
              <w:rPr>
                <w:rFonts w:ascii="Times New Roman" w:eastAsiaTheme="minorHAnsi" w:hAnsi="Times New Roman"/>
                <w:sz w:val="20"/>
                <w:szCs w:val="24"/>
                <w:lang w:val="en-US"/>
              </w:rPr>
              <w:t xml:space="preserve">Julia </w:t>
            </w:r>
            <w:proofErr w:type="spellStart"/>
            <w:r w:rsidR="001B794D" w:rsidRPr="00360B79">
              <w:rPr>
                <w:rFonts w:ascii="Times New Roman" w:eastAsiaTheme="minorHAnsi" w:hAnsi="Times New Roman"/>
                <w:sz w:val="20"/>
                <w:szCs w:val="24"/>
                <w:lang w:val="en-US"/>
              </w:rPr>
              <w:t>Lajus</w:t>
            </w:r>
            <w:proofErr w:type="spellEnd"/>
          </w:p>
        </w:tc>
      </w:tr>
    </w:tbl>
    <w:p w:rsidR="00D4693C" w:rsidRPr="00D4693C" w:rsidRDefault="00D4693C" w:rsidP="00D4693C">
      <w:pPr>
        <w:spacing w:after="0" w:line="240" w:lineRule="auto"/>
        <w:jc w:val="both"/>
        <w:rPr>
          <w:rFonts w:ascii="Times New Roman" w:hAnsi="Times New Roman"/>
          <w:sz w:val="24"/>
          <w:lang w:val="en-US"/>
        </w:rPr>
      </w:pPr>
    </w:p>
    <w:sectPr w:rsidR="00D4693C" w:rsidRPr="00D4693C" w:rsidSect="00360B79">
      <w:pgSz w:w="11906" w:h="16838"/>
      <w:pgMar w:top="426" w:right="851"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45A0" w:rsidRDefault="001E45A0" w:rsidP="00C142E6">
      <w:pPr>
        <w:spacing w:after="0" w:line="240" w:lineRule="auto"/>
      </w:pPr>
      <w:r>
        <w:separator/>
      </w:r>
    </w:p>
  </w:endnote>
  <w:endnote w:type="continuationSeparator" w:id="0">
    <w:p w:rsidR="001E45A0" w:rsidRDefault="001E45A0" w:rsidP="00C142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45A0" w:rsidRDefault="001E45A0" w:rsidP="00C142E6">
      <w:pPr>
        <w:spacing w:after="0" w:line="240" w:lineRule="auto"/>
      </w:pPr>
      <w:r>
        <w:separator/>
      </w:r>
    </w:p>
  </w:footnote>
  <w:footnote w:type="continuationSeparator" w:id="0">
    <w:p w:rsidR="001E45A0" w:rsidRDefault="001E45A0" w:rsidP="00C142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18B4FE6"/>
    <w:multiLevelType w:val="hybridMultilevel"/>
    <w:tmpl w:val="C42A286C"/>
    <w:lvl w:ilvl="0" w:tplc="AE0A2ADC">
      <w:start w:val="1"/>
      <w:numFmt w:val="decimal"/>
      <w:lvlText w:val="%1."/>
      <w:lvlJc w:val="left"/>
      <w:pPr>
        <w:ind w:left="720" w:hanging="360"/>
      </w:pPr>
    </w:lvl>
    <w:lvl w:ilvl="1" w:tplc="0409000F">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6ADF3301"/>
    <w:multiLevelType w:val="multilevel"/>
    <w:tmpl w:val="53FC7304"/>
    <w:lvl w:ilvl="0">
      <w:start w:val="1"/>
      <w:numFmt w:val="decimal"/>
      <w:pStyle w:val="1"/>
      <w:lvlText w:val="%1."/>
      <w:lvlJc w:val="left"/>
      <w:pPr>
        <w:ind w:left="1069" w:hanging="360"/>
      </w:pPr>
      <w:rPr>
        <w:sz w:val="28"/>
        <w:szCs w:val="28"/>
      </w:rPr>
    </w:lvl>
    <w:lvl w:ilvl="1">
      <w:start w:val="1"/>
      <w:numFmt w:val="decimal"/>
      <w:isLgl/>
      <w:lvlText w:val="%1.%2"/>
      <w:lvlJc w:val="left"/>
      <w:pPr>
        <w:ind w:left="1778" w:hanging="360"/>
      </w:pPr>
    </w:lvl>
    <w:lvl w:ilvl="2">
      <w:start w:val="1"/>
      <w:numFmt w:val="decimal"/>
      <w:isLgl/>
      <w:lvlText w:val="%1.%2.%3"/>
      <w:lvlJc w:val="left"/>
      <w:pPr>
        <w:ind w:left="2487" w:hanging="720"/>
      </w:pPr>
    </w:lvl>
    <w:lvl w:ilvl="3">
      <w:start w:val="1"/>
      <w:numFmt w:val="decimal"/>
      <w:isLgl/>
      <w:lvlText w:val="%1.%2.%3.%4"/>
      <w:lvlJc w:val="left"/>
      <w:pPr>
        <w:ind w:left="2836" w:hanging="720"/>
      </w:pPr>
    </w:lvl>
    <w:lvl w:ilvl="4">
      <w:start w:val="1"/>
      <w:numFmt w:val="decimal"/>
      <w:isLgl/>
      <w:lvlText w:val="%1.%2.%3.%4.%5"/>
      <w:lvlJc w:val="left"/>
      <w:pPr>
        <w:ind w:left="3545" w:hanging="1080"/>
      </w:pPr>
    </w:lvl>
    <w:lvl w:ilvl="5">
      <w:start w:val="1"/>
      <w:numFmt w:val="decimal"/>
      <w:isLgl/>
      <w:lvlText w:val="%1.%2.%3.%4.%5.%6"/>
      <w:lvlJc w:val="left"/>
      <w:pPr>
        <w:ind w:left="3894" w:hanging="1080"/>
      </w:pPr>
    </w:lvl>
    <w:lvl w:ilvl="6">
      <w:start w:val="1"/>
      <w:numFmt w:val="decimal"/>
      <w:isLgl/>
      <w:lvlText w:val="%1.%2.%3.%4.%5.%6.%7"/>
      <w:lvlJc w:val="left"/>
      <w:pPr>
        <w:ind w:left="4603" w:hanging="1440"/>
      </w:pPr>
    </w:lvl>
    <w:lvl w:ilvl="7">
      <w:start w:val="1"/>
      <w:numFmt w:val="decimal"/>
      <w:isLgl/>
      <w:lvlText w:val="%1.%2.%3.%4.%5.%6.%7.%8"/>
      <w:lvlJc w:val="left"/>
      <w:pPr>
        <w:ind w:left="4952" w:hanging="1440"/>
      </w:pPr>
    </w:lvl>
    <w:lvl w:ilvl="8">
      <w:start w:val="1"/>
      <w:numFmt w:val="decimal"/>
      <w:isLgl/>
      <w:lvlText w:val="%1.%2.%3.%4.%5.%6.%7.%8.%9"/>
      <w:lvlJc w:val="left"/>
      <w:pPr>
        <w:ind w:left="5661" w:hanging="1800"/>
      </w:pPr>
    </w:lvl>
  </w:abstractNum>
  <w:abstractNum w:abstractNumId="2">
    <w:nsid w:val="7B733D54"/>
    <w:multiLevelType w:val="hybridMultilevel"/>
    <w:tmpl w:val="7B5C1052"/>
    <w:lvl w:ilvl="0" w:tplc="80B2A0CE">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7DF90A03"/>
    <w:multiLevelType w:val="hybridMultilevel"/>
    <w:tmpl w:val="A0FEE14E"/>
    <w:lvl w:ilvl="0" w:tplc="4D6A6B74">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2A27"/>
    <w:rsid w:val="00045AD4"/>
    <w:rsid w:val="00062297"/>
    <w:rsid w:val="00085FF4"/>
    <w:rsid w:val="000916E8"/>
    <w:rsid w:val="000A4D40"/>
    <w:rsid w:val="001269F5"/>
    <w:rsid w:val="00173E7C"/>
    <w:rsid w:val="001B794D"/>
    <w:rsid w:val="001D0D6A"/>
    <w:rsid w:val="001E0D4C"/>
    <w:rsid w:val="001E45A0"/>
    <w:rsid w:val="00213753"/>
    <w:rsid w:val="0033665B"/>
    <w:rsid w:val="00360B79"/>
    <w:rsid w:val="00360ED6"/>
    <w:rsid w:val="0039109A"/>
    <w:rsid w:val="004B1D7A"/>
    <w:rsid w:val="00501CCD"/>
    <w:rsid w:val="00554AD8"/>
    <w:rsid w:val="0057785A"/>
    <w:rsid w:val="00581152"/>
    <w:rsid w:val="005C137A"/>
    <w:rsid w:val="005D7C27"/>
    <w:rsid w:val="00644510"/>
    <w:rsid w:val="00652AC6"/>
    <w:rsid w:val="006A0D74"/>
    <w:rsid w:val="006A17D7"/>
    <w:rsid w:val="006A1F3B"/>
    <w:rsid w:val="00726371"/>
    <w:rsid w:val="007856F2"/>
    <w:rsid w:val="007A2171"/>
    <w:rsid w:val="008B26D7"/>
    <w:rsid w:val="008D55B8"/>
    <w:rsid w:val="009318FE"/>
    <w:rsid w:val="0095122E"/>
    <w:rsid w:val="009E2F8B"/>
    <w:rsid w:val="00AE263E"/>
    <w:rsid w:val="00C142E6"/>
    <w:rsid w:val="00C14DEF"/>
    <w:rsid w:val="00C165CA"/>
    <w:rsid w:val="00C27C5D"/>
    <w:rsid w:val="00C42A27"/>
    <w:rsid w:val="00C95CB2"/>
    <w:rsid w:val="00D203BB"/>
    <w:rsid w:val="00D4693C"/>
    <w:rsid w:val="00D640A5"/>
    <w:rsid w:val="00D85442"/>
    <w:rsid w:val="00DB57AC"/>
    <w:rsid w:val="00E6212D"/>
    <w:rsid w:val="00EA1607"/>
    <w:rsid w:val="00F064BA"/>
    <w:rsid w:val="00F203DF"/>
    <w:rsid w:val="00F71D01"/>
    <w:rsid w:val="00F72FB8"/>
    <w:rsid w:val="00F9669D"/>
    <w:rsid w:val="00FF08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character" w:styleId="a4">
    <w:name w:val="Hyperlink"/>
    <w:uiPriority w:val="99"/>
    <w:semiHidden/>
    <w:unhideWhenUsed/>
    <w:rsid w:val="00C165CA"/>
    <w:rPr>
      <w:rFonts w:ascii="Times New Roman" w:hAnsi="Times New Roman" w:cs="Times New Roman" w:hint="default"/>
      <w:color w:val="0000FF"/>
      <w:u w:val="single"/>
    </w:rPr>
  </w:style>
  <w:style w:type="paragraph" w:customStyle="1" w:styleId="Default">
    <w:name w:val="Default"/>
    <w:rsid w:val="00C165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size-extra-large">
    <w:name w:val="a-size-extra-large"/>
    <w:basedOn w:val="a1"/>
    <w:rsid w:val="00C165CA"/>
  </w:style>
  <w:style w:type="paragraph" w:styleId="a5">
    <w:name w:val="footer"/>
    <w:basedOn w:val="a"/>
    <w:link w:val="a6"/>
    <w:rsid w:val="00C142E6"/>
    <w:pPr>
      <w:tabs>
        <w:tab w:val="center" w:pos="4677"/>
        <w:tab w:val="right" w:pos="9355"/>
      </w:tabs>
      <w:spacing w:after="0" w:line="240" w:lineRule="auto"/>
    </w:pPr>
  </w:style>
  <w:style w:type="character" w:customStyle="1" w:styleId="a6">
    <w:name w:val="Нижний колонтитул Знак"/>
    <w:basedOn w:val="a1"/>
    <w:link w:val="a5"/>
    <w:rsid w:val="00C142E6"/>
    <w:rPr>
      <w:rFonts w:ascii="Calibri" w:eastAsia="Calibri" w:hAnsi="Calibri" w:cs="Times New Roman"/>
    </w:rPr>
  </w:style>
  <w:style w:type="character" w:styleId="a7">
    <w:name w:val="footnote reference"/>
    <w:basedOn w:val="a1"/>
    <w:uiPriority w:val="99"/>
    <w:semiHidden/>
    <w:unhideWhenUsed/>
    <w:rsid w:val="00C142E6"/>
    <w:rPr>
      <w:vertAlign w:val="superscript"/>
    </w:rPr>
  </w:style>
  <w:style w:type="paragraph" w:styleId="a8">
    <w:name w:val="footnote text"/>
    <w:basedOn w:val="a"/>
    <w:link w:val="a9"/>
    <w:uiPriority w:val="99"/>
    <w:semiHidden/>
    <w:unhideWhenUsed/>
    <w:rsid w:val="00C142E6"/>
    <w:pPr>
      <w:spacing w:after="0" w:line="240" w:lineRule="auto"/>
    </w:pPr>
    <w:rPr>
      <w:sz w:val="20"/>
      <w:szCs w:val="20"/>
    </w:rPr>
  </w:style>
  <w:style w:type="character" w:customStyle="1" w:styleId="a9">
    <w:name w:val="Текст сноски Знак"/>
    <w:basedOn w:val="a1"/>
    <w:link w:val="a8"/>
    <w:uiPriority w:val="99"/>
    <w:semiHidden/>
    <w:rsid w:val="00C142E6"/>
    <w:rPr>
      <w:rFonts w:ascii="Calibri" w:eastAsia="Calibri" w:hAnsi="Calibri"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A27"/>
    <w:rPr>
      <w:rFonts w:ascii="Calibri" w:eastAsia="Calibri" w:hAnsi="Calibri" w:cs="Times New Roman"/>
    </w:rPr>
  </w:style>
  <w:style w:type="paragraph" w:styleId="1">
    <w:name w:val="heading 1"/>
    <w:basedOn w:val="a0"/>
    <w:next w:val="a"/>
    <w:link w:val="10"/>
    <w:uiPriority w:val="9"/>
    <w:qFormat/>
    <w:rsid w:val="00C42A27"/>
    <w:pPr>
      <w:numPr>
        <w:numId w:val="1"/>
      </w:numPr>
      <w:spacing w:after="0" w:line="240" w:lineRule="auto"/>
      <w:ind w:left="0" w:firstLine="709"/>
      <w:outlineLvl w:val="0"/>
    </w:pPr>
    <w:rPr>
      <w:rFonts w:ascii="Times New Roman" w:eastAsia="Times New Roman" w:hAnsi="Times New Roman"/>
      <w:b/>
      <w:sz w:val="28"/>
      <w:szCs w:val="28"/>
      <w:lang w:val="en-US"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C42A27"/>
    <w:rPr>
      <w:rFonts w:ascii="Times New Roman" w:eastAsia="Times New Roman" w:hAnsi="Times New Roman" w:cs="Times New Roman"/>
      <w:b/>
      <w:sz w:val="28"/>
      <w:szCs w:val="28"/>
      <w:lang w:val="en-US" w:eastAsia="ru-RU"/>
    </w:rPr>
  </w:style>
  <w:style w:type="paragraph" w:styleId="a0">
    <w:name w:val="List Paragraph"/>
    <w:basedOn w:val="a"/>
    <w:uiPriority w:val="34"/>
    <w:qFormat/>
    <w:rsid w:val="00C42A27"/>
    <w:pPr>
      <w:ind w:left="720"/>
      <w:contextualSpacing/>
    </w:pPr>
  </w:style>
  <w:style w:type="character" w:styleId="a4">
    <w:name w:val="Hyperlink"/>
    <w:uiPriority w:val="99"/>
    <w:semiHidden/>
    <w:unhideWhenUsed/>
    <w:rsid w:val="00C165CA"/>
    <w:rPr>
      <w:rFonts w:ascii="Times New Roman" w:hAnsi="Times New Roman" w:cs="Times New Roman" w:hint="default"/>
      <w:color w:val="0000FF"/>
      <w:u w:val="single"/>
    </w:rPr>
  </w:style>
  <w:style w:type="paragraph" w:customStyle="1" w:styleId="Default">
    <w:name w:val="Default"/>
    <w:rsid w:val="00C165CA"/>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a-size-extra-large">
    <w:name w:val="a-size-extra-large"/>
    <w:basedOn w:val="a1"/>
    <w:rsid w:val="00C165CA"/>
  </w:style>
  <w:style w:type="paragraph" w:styleId="a5">
    <w:name w:val="footer"/>
    <w:basedOn w:val="a"/>
    <w:link w:val="a6"/>
    <w:rsid w:val="00C142E6"/>
    <w:pPr>
      <w:tabs>
        <w:tab w:val="center" w:pos="4677"/>
        <w:tab w:val="right" w:pos="9355"/>
      </w:tabs>
      <w:spacing w:after="0" w:line="240" w:lineRule="auto"/>
    </w:pPr>
  </w:style>
  <w:style w:type="character" w:customStyle="1" w:styleId="a6">
    <w:name w:val="Нижний колонтитул Знак"/>
    <w:basedOn w:val="a1"/>
    <w:link w:val="a5"/>
    <w:rsid w:val="00C142E6"/>
    <w:rPr>
      <w:rFonts w:ascii="Calibri" w:eastAsia="Calibri" w:hAnsi="Calibri" w:cs="Times New Roman"/>
    </w:rPr>
  </w:style>
  <w:style w:type="character" w:styleId="a7">
    <w:name w:val="footnote reference"/>
    <w:basedOn w:val="a1"/>
    <w:uiPriority w:val="99"/>
    <w:semiHidden/>
    <w:unhideWhenUsed/>
    <w:rsid w:val="00C142E6"/>
    <w:rPr>
      <w:vertAlign w:val="superscript"/>
    </w:rPr>
  </w:style>
  <w:style w:type="paragraph" w:styleId="a8">
    <w:name w:val="footnote text"/>
    <w:basedOn w:val="a"/>
    <w:link w:val="a9"/>
    <w:uiPriority w:val="99"/>
    <w:semiHidden/>
    <w:unhideWhenUsed/>
    <w:rsid w:val="00C142E6"/>
    <w:pPr>
      <w:spacing w:after="0" w:line="240" w:lineRule="auto"/>
    </w:pPr>
    <w:rPr>
      <w:sz w:val="20"/>
      <w:szCs w:val="20"/>
    </w:rPr>
  </w:style>
  <w:style w:type="character" w:customStyle="1" w:styleId="a9">
    <w:name w:val="Текст сноски Знак"/>
    <w:basedOn w:val="a1"/>
    <w:link w:val="a8"/>
    <w:uiPriority w:val="99"/>
    <w:semiHidden/>
    <w:rsid w:val="00C142E6"/>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0132608">
      <w:bodyDiv w:val="1"/>
      <w:marLeft w:val="0"/>
      <w:marRight w:val="0"/>
      <w:marTop w:val="0"/>
      <w:marBottom w:val="0"/>
      <w:divBdr>
        <w:top w:val="none" w:sz="0" w:space="0" w:color="auto"/>
        <w:left w:val="none" w:sz="0" w:space="0" w:color="auto"/>
        <w:bottom w:val="none" w:sz="0" w:space="0" w:color="auto"/>
        <w:right w:val="none" w:sz="0" w:space="0" w:color="auto"/>
      </w:divBdr>
    </w:div>
    <w:div w:id="1209300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664</Words>
  <Characters>3788</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НИУ ВШЭ СПб</Company>
  <LinksUpToDate>false</LinksUpToDate>
  <CharactersWithSpaces>4444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Миша</dc:creator>
  <cp:lastModifiedBy>Ходырева Анастасия Юрьеевна</cp:lastModifiedBy>
  <cp:revision>2</cp:revision>
  <dcterms:created xsi:type="dcterms:W3CDTF">2018-04-06T14:18:00Z</dcterms:created>
  <dcterms:modified xsi:type="dcterms:W3CDTF">2018-04-06T14:18:00Z</dcterms:modified>
</cp:coreProperties>
</file>