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br/>
        <w:t>TEMPLATE</w:t>
      </w:r>
    </w:p>
    <w:p w:rsidR="00C42A27" w:rsidRPr="00C42A27" w:rsidRDefault="00C42A27" w:rsidP="00C42A27">
      <w:pPr>
        <w:spacing w:after="0" w:line="240" w:lineRule="auto"/>
        <w:jc w:val="center"/>
        <w:rPr>
          <w:rFonts w:ascii="Times New Roman" w:eastAsiaTheme="minorHAnsi" w:hAnsi="Times New Roman"/>
          <w:sz w:val="24"/>
          <w:szCs w:val="24"/>
          <w:lang w:val="en-US"/>
        </w:rPr>
      </w:pPr>
    </w:p>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8308B5"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802D49">
            <w:pPr>
              <w:spacing w:after="0" w:line="240" w:lineRule="auto"/>
              <w:rPr>
                <w:rFonts w:ascii="Times New Roman" w:eastAsiaTheme="minorHAnsi" w:hAnsi="Times New Roman"/>
                <w:b/>
                <w:sz w:val="24"/>
                <w:szCs w:val="24"/>
                <w:lang w:val="en-US"/>
              </w:rPr>
            </w:pPr>
            <w:r w:rsidRPr="00802D49">
              <w:rPr>
                <w:rFonts w:ascii="Times New Roman" w:eastAsiaTheme="minorHAnsi" w:hAnsi="Times New Roman"/>
                <w:b/>
                <w:sz w:val="24"/>
                <w:szCs w:val="24"/>
                <w:lang w:val="en-US"/>
              </w:rPr>
              <w:t>Historical Heritage Policy and Practices</w:t>
            </w:r>
          </w:p>
        </w:tc>
      </w:tr>
      <w:tr w:rsidR="00C42A27" w:rsidRPr="008308B5"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802D49">
            <w:pPr>
              <w:spacing w:after="0" w:line="240" w:lineRule="auto"/>
              <w:rPr>
                <w:rFonts w:ascii="Times New Roman" w:eastAsiaTheme="minorHAnsi" w:hAnsi="Times New Roman"/>
                <w:sz w:val="24"/>
                <w:szCs w:val="24"/>
                <w:lang w:val="en-US"/>
              </w:rPr>
            </w:pPr>
            <w:r w:rsidRPr="00802D49">
              <w:rPr>
                <w:rFonts w:ascii="Times New Roman" w:eastAsiaTheme="minorHAnsi" w:hAnsi="Times New Roman"/>
                <w:sz w:val="24"/>
                <w:szCs w:val="24"/>
                <w:lang w:val="en-US"/>
              </w:rPr>
              <w:t>Applied and Interdisciplinary History «Usable Pasts»</w:t>
            </w:r>
          </w:p>
        </w:tc>
      </w:tr>
      <w:tr w:rsidR="00C42A27" w:rsidRPr="00D4693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Type of the course</w:t>
            </w:r>
            <w:r w:rsidR="00F31F02">
              <w:rPr>
                <w:rStyle w:val="a6"/>
                <w:rFonts w:ascii="Times New Roman" w:eastAsiaTheme="minorHAnsi" w:hAnsi="Times New Roman"/>
                <w:sz w:val="24"/>
                <w:szCs w:val="24"/>
                <w:lang w:val="en-US"/>
              </w:rPr>
              <w:footnoteReference w:id="1"/>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802D49">
            <w:pPr>
              <w:spacing w:after="0" w:line="240" w:lineRule="auto"/>
              <w:rPr>
                <w:rFonts w:ascii="Times New Roman" w:eastAsiaTheme="minorHAnsi" w:hAnsi="Times New Roman"/>
                <w:sz w:val="24"/>
                <w:szCs w:val="24"/>
                <w:lang w:val="en-US"/>
              </w:rPr>
            </w:pPr>
            <w:r w:rsidRPr="00802D49">
              <w:rPr>
                <w:rFonts w:ascii="Times New Roman" w:eastAsiaTheme="minorHAnsi" w:hAnsi="Times New Roman"/>
                <w:sz w:val="24"/>
                <w:szCs w:val="24"/>
                <w:lang w:val="en-US"/>
              </w:rPr>
              <w:t>Mandatory</w:t>
            </w:r>
          </w:p>
        </w:tc>
      </w:tr>
      <w:tr w:rsidR="00C42A27" w:rsidRPr="008308B5"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802D49" w:rsidRPr="00802D49" w:rsidRDefault="00802D49" w:rsidP="00802D49">
            <w:pPr>
              <w:spacing w:after="0" w:line="240" w:lineRule="auto"/>
              <w:rPr>
                <w:rFonts w:ascii="Times New Roman" w:eastAsiaTheme="minorHAnsi" w:hAnsi="Times New Roman"/>
                <w:sz w:val="24"/>
                <w:szCs w:val="24"/>
                <w:lang w:val="en-US"/>
              </w:rPr>
            </w:pPr>
            <w:r w:rsidRPr="00802D49">
              <w:rPr>
                <w:rFonts w:ascii="Times New Roman" w:eastAsiaTheme="minorHAnsi" w:hAnsi="Times New Roman"/>
                <w:sz w:val="24"/>
                <w:szCs w:val="24"/>
                <w:lang w:val="en-US"/>
              </w:rPr>
              <w:t>-advanced command of English</w:t>
            </w:r>
          </w:p>
          <w:p w:rsidR="00C42A27" w:rsidRDefault="00802D49" w:rsidP="00802D49">
            <w:pPr>
              <w:spacing w:after="0" w:line="240" w:lineRule="auto"/>
              <w:rPr>
                <w:rFonts w:ascii="Times New Roman" w:eastAsiaTheme="minorHAnsi" w:hAnsi="Times New Roman"/>
                <w:sz w:val="24"/>
                <w:szCs w:val="24"/>
                <w:lang w:val="en-US"/>
              </w:rPr>
            </w:pPr>
            <w:r w:rsidRPr="00802D49">
              <w:rPr>
                <w:rFonts w:ascii="Times New Roman" w:eastAsiaTheme="minorHAnsi" w:hAnsi="Times New Roman"/>
                <w:sz w:val="24"/>
                <w:szCs w:val="24"/>
                <w:lang w:val="en-US"/>
              </w:rPr>
              <w:t>-basic knowledge of global history</w:t>
            </w:r>
          </w:p>
        </w:tc>
      </w:tr>
      <w:tr w:rsidR="00C42A27"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802D49">
            <w:pPr>
              <w:spacing w:after="0" w:line="240" w:lineRule="auto"/>
              <w:rPr>
                <w:rFonts w:ascii="Times New Roman" w:eastAsiaTheme="minorHAnsi" w:hAnsi="Times New Roman"/>
                <w:sz w:val="24"/>
                <w:szCs w:val="24"/>
                <w:lang w:val="en-US"/>
              </w:rPr>
            </w:pPr>
            <w:r w:rsidRPr="00802D49">
              <w:rPr>
                <w:rFonts w:ascii="Times New Roman" w:eastAsiaTheme="minorHAnsi" w:hAnsi="Times New Roman"/>
                <w:sz w:val="24"/>
                <w:szCs w:val="24"/>
                <w:lang w:val="en-US"/>
              </w:rPr>
              <w:t>4</w:t>
            </w:r>
          </w:p>
        </w:tc>
      </w:tr>
      <w:tr w:rsidR="00C42A27"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802D49"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802D49" w:rsidRDefault="00802D49">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02D49" w:rsidRPr="00620661" w:rsidRDefault="00802D49" w:rsidP="00D800A5">
            <w:r w:rsidRPr="00620661">
              <w:t>24</w:t>
            </w:r>
          </w:p>
        </w:tc>
        <w:tc>
          <w:tcPr>
            <w:tcW w:w="2410" w:type="dxa"/>
            <w:tcBorders>
              <w:top w:val="single" w:sz="4" w:space="0" w:color="auto"/>
              <w:left w:val="single" w:sz="4" w:space="0" w:color="auto"/>
              <w:bottom w:val="single" w:sz="4" w:space="0" w:color="auto"/>
              <w:right w:val="single" w:sz="4" w:space="0" w:color="auto"/>
            </w:tcBorders>
          </w:tcPr>
          <w:p w:rsidR="00802D49" w:rsidRPr="00620661" w:rsidRDefault="00802D49" w:rsidP="00D800A5">
            <w:r w:rsidRPr="00620661">
              <w:t>90</w:t>
            </w:r>
          </w:p>
        </w:tc>
        <w:tc>
          <w:tcPr>
            <w:tcW w:w="2552" w:type="dxa"/>
            <w:tcBorders>
              <w:top w:val="single" w:sz="4" w:space="0" w:color="auto"/>
              <w:left w:val="single" w:sz="4" w:space="0" w:color="auto"/>
              <w:bottom w:val="single" w:sz="4" w:space="0" w:color="auto"/>
              <w:right w:val="single" w:sz="4" w:space="0" w:color="auto"/>
            </w:tcBorders>
          </w:tcPr>
          <w:p w:rsidR="00802D49" w:rsidRDefault="00802D49" w:rsidP="00D800A5">
            <w:r w:rsidRPr="00620661">
              <w:t>114</w:t>
            </w:r>
          </w:p>
        </w:tc>
      </w:tr>
      <w:tr w:rsidR="00C42A27" w:rsidRPr="008308B5"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802D49" w:rsidP="00802D49">
            <w:pPr>
              <w:spacing w:after="0"/>
              <w:jc w:val="both"/>
              <w:rPr>
                <w:rFonts w:ascii="Times New Roman" w:eastAsiaTheme="minorHAnsi" w:hAnsi="Times New Roman"/>
                <w:sz w:val="24"/>
                <w:szCs w:val="24"/>
                <w:lang w:val="en-US"/>
              </w:rPr>
            </w:pPr>
            <w:r w:rsidRPr="00802D49">
              <w:rPr>
                <w:rFonts w:ascii="Times New Roman" w:eastAsiaTheme="minorHAnsi" w:hAnsi="Times New Roman"/>
                <w:sz w:val="24"/>
                <w:szCs w:val="24"/>
                <w:lang w:val="en-US"/>
              </w:rPr>
              <w:t>The course is designed as a core part of the applied history pro-gram in order to discuss the natural and cultural heritage issues in historical perspective. It includes introductive part including the discussion of general theoretical problems of heritage management, protection and use, and the problematic part dedicated to the discussion of major practical problems of heritage management including the social and cultural conflicts. The authors intend to provide the global geographic scope and offer to the audience to operate the materials and narratives related to the heritage and cultural policy of Russia, Europe and America with some attention paid to other parts of the world. The originality of the course is the focus on both cultural and natural heritage as an interconnected unity within the concept of socio-natural site proposed by the environmental historians. The final aim of the course is to provide the global vision of multifaceted problematic of heritage preservation and use within a variety of historical contexts.</w:t>
            </w:r>
          </w:p>
        </w:tc>
      </w:tr>
      <w:tr w:rsidR="00C42A27" w:rsidRPr="008308B5"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D4693C">
              <w:rPr>
                <w:rFonts w:ascii="Times New Roman" w:eastAsiaTheme="minorHAnsi" w:hAnsi="Times New Roman"/>
                <w:sz w:val="24"/>
                <w:szCs w:val="24"/>
                <w:lang w:val="en-US"/>
              </w:rPr>
              <w:t xml:space="preserve"> (ILO)</w:t>
            </w:r>
            <w:r w:rsidR="00F31F02">
              <w:rPr>
                <w:rStyle w:val="a6"/>
                <w:rFonts w:ascii="Times New Roman" w:eastAsiaTheme="minorHAnsi" w:hAnsi="Times New Roman"/>
                <w:sz w:val="24"/>
                <w:szCs w:val="24"/>
                <w:lang w:val="en-US"/>
              </w:rPr>
              <w:footnoteReference w:id="2"/>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308B5" w:rsidRPr="008308B5" w:rsidRDefault="008308B5" w:rsidP="008308B5">
            <w:pPr>
              <w:spacing w:after="0"/>
              <w:contextualSpacing/>
              <w:rPr>
                <w:rFonts w:ascii="Times New Roman" w:eastAsia="Times New Roman" w:hAnsi="Times New Roman"/>
                <w:sz w:val="24"/>
                <w:szCs w:val="24"/>
                <w:lang w:val="en-US" w:eastAsia="ru-RU"/>
              </w:rPr>
            </w:pPr>
            <w:r w:rsidRPr="008308B5">
              <w:rPr>
                <w:rFonts w:ascii="Times New Roman" w:eastAsia="Times New Roman" w:hAnsi="Times New Roman"/>
                <w:sz w:val="24"/>
                <w:szCs w:val="24"/>
                <w:lang w:val="en-US" w:eastAsia="ru-RU"/>
              </w:rPr>
              <w:t xml:space="preserve">Upon completion of the course students should: </w:t>
            </w:r>
          </w:p>
          <w:p w:rsidR="008308B5" w:rsidRPr="008308B5" w:rsidRDefault="008308B5" w:rsidP="008308B5">
            <w:pPr>
              <w:spacing w:after="0"/>
              <w:contextualSpacing/>
              <w:rPr>
                <w:rFonts w:ascii="Times New Roman" w:eastAsia="Times New Roman" w:hAnsi="Times New Roman"/>
                <w:sz w:val="24"/>
                <w:szCs w:val="24"/>
                <w:lang w:val="en-US" w:eastAsia="ru-RU"/>
              </w:rPr>
            </w:pPr>
          </w:p>
          <w:p w:rsidR="008308B5" w:rsidRPr="008308B5" w:rsidRDefault="008308B5" w:rsidP="008308B5">
            <w:pPr>
              <w:spacing w:after="0"/>
              <w:contextualSpacing/>
              <w:rPr>
                <w:rFonts w:ascii="Times New Roman" w:eastAsia="Times New Roman" w:hAnsi="Times New Roman"/>
                <w:sz w:val="24"/>
                <w:szCs w:val="24"/>
                <w:lang w:val="en-US" w:eastAsia="ru-RU"/>
              </w:rPr>
            </w:pPr>
            <w:proofErr w:type="gramStart"/>
            <w:r w:rsidRPr="008308B5">
              <w:rPr>
                <w:rFonts w:ascii="Times New Roman" w:eastAsia="Times New Roman" w:hAnsi="Times New Roman"/>
                <w:sz w:val="24"/>
                <w:szCs w:val="24"/>
                <w:lang w:val="en-US" w:eastAsia="ru-RU"/>
              </w:rPr>
              <w:t>Is able to</w:t>
            </w:r>
            <w:proofErr w:type="gramEnd"/>
            <w:r w:rsidRPr="008308B5">
              <w:rPr>
                <w:rFonts w:ascii="Times New Roman" w:eastAsia="Times New Roman" w:hAnsi="Times New Roman"/>
                <w:sz w:val="24"/>
                <w:szCs w:val="24"/>
                <w:lang w:val="en-US" w:eastAsia="ru-RU"/>
              </w:rPr>
              <w:t xml:space="preserve"> reflex (evaluate and rework) the learned scientific and activity methods (УК-1)</w:t>
            </w:r>
          </w:p>
          <w:p w:rsidR="008308B5" w:rsidRPr="008308B5" w:rsidRDefault="008308B5" w:rsidP="008308B5">
            <w:pPr>
              <w:spacing w:after="0"/>
              <w:contextualSpacing/>
              <w:rPr>
                <w:rFonts w:ascii="Times New Roman" w:eastAsia="Times New Roman" w:hAnsi="Times New Roman"/>
                <w:sz w:val="24"/>
                <w:szCs w:val="24"/>
                <w:lang w:val="en-US" w:eastAsia="ru-RU"/>
              </w:rPr>
            </w:pPr>
            <w:proofErr w:type="gramStart"/>
            <w:r w:rsidRPr="008308B5">
              <w:rPr>
                <w:rFonts w:ascii="Times New Roman" w:eastAsia="Times New Roman" w:hAnsi="Times New Roman"/>
                <w:sz w:val="24"/>
                <w:szCs w:val="24"/>
                <w:lang w:val="en-US" w:eastAsia="ru-RU"/>
              </w:rPr>
              <w:t>Is able to</w:t>
            </w:r>
            <w:proofErr w:type="gramEnd"/>
            <w:r w:rsidRPr="008308B5">
              <w:rPr>
                <w:rFonts w:ascii="Times New Roman" w:eastAsia="Times New Roman" w:hAnsi="Times New Roman"/>
                <w:sz w:val="24"/>
                <w:szCs w:val="24"/>
                <w:lang w:val="en-US" w:eastAsia="ru-RU"/>
              </w:rPr>
              <w:t xml:space="preserve"> create new theories, invent new ways and tools of professional activity (УК-2)</w:t>
            </w:r>
          </w:p>
          <w:p w:rsidR="008308B5" w:rsidRPr="008308B5" w:rsidRDefault="008308B5" w:rsidP="008308B5">
            <w:pPr>
              <w:spacing w:after="0"/>
              <w:contextualSpacing/>
              <w:rPr>
                <w:rFonts w:ascii="Times New Roman" w:eastAsia="Times New Roman" w:hAnsi="Times New Roman"/>
                <w:sz w:val="24"/>
                <w:szCs w:val="24"/>
                <w:lang w:val="en-US" w:eastAsia="ru-RU"/>
              </w:rPr>
            </w:pPr>
            <w:r w:rsidRPr="008308B5">
              <w:rPr>
                <w:rFonts w:ascii="Times New Roman" w:eastAsia="Times New Roman" w:hAnsi="Times New Roman"/>
                <w:sz w:val="24"/>
                <w:szCs w:val="24"/>
                <w:lang w:val="en-US" w:eastAsia="ru-RU"/>
              </w:rPr>
              <w:t xml:space="preserve">Masters new research methods </w:t>
            </w:r>
            <w:proofErr w:type="gramStart"/>
            <w:r w:rsidRPr="008308B5">
              <w:rPr>
                <w:rFonts w:ascii="Times New Roman" w:eastAsia="Times New Roman" w:hAnsi="Times New Roman"/>
                <w:sz w:val="24"/>
                <w:szCs w:val="24"/>
                <w:lang w:val="en-US" w:eastAsia="ru-RU"/>
              </w:rPr>
              <w:t>independently ,</w:t>
            </w:r>
            <w:proofErr w:type="gramEnd"/>
            <w:r w:rsidRPr="008308B5">
              <w:rPr>
                <w:rFonts w:ascii="Times New Roman" w:eastAsia="Times New Roman" w:hAnsi="Times New Roman"/>
                <w:sz w:val="24"/>
                <w:szCs w:val="24"/>
                <w:lang w:val="en-US" w:eastAsia="ru-RU"/>
              </w:rPr>
              <w:t xml:space="preserve"> changes the scientific and production profile of his/her activities (УК-3)</w:t>
            </w:r>
          </w:p>
          <w:p w:rsidR="008308B5" w:rsidRPr="008308B5" w:rsidRDefault="008308B5" w:rsidP="008308B5">
            <w:pPr>
              <w:spacing w:after="0"/>
              <w:contextualSpacing/>
              <w:rPr>
                <w:rFonts w:ascii="Times New Roman" w:eastAsia="Times New Roman" w:hAnsi="Times New Roman"/>
                <w:sz w:val="24"/>
                <w:szCs w:val="24"/>
                <w:lang w:val="en-US" w:eastAsia="ru-RU"/>
              </w:rPr>
            </w:pPr>
            <w:proofErr w:type="gramStart"/>
            <w:r w:rsidRPr="008308B5">
              <w:rPr>
                <w:rFonts w:ascii="Times New Roman" w:eastAsia="Times New Roman" w:hAnsi="Times New Roman"/>
                <w:sz w:val="24"/>
                <w:szCs w:val="24"/>
                <w:lang w:val="en-US" w:eastAsia="ru-RU"/>
              </w:rPr>
              <w:t>Is able to</w:t>
            </w:r>
            <w:proofErr w:type="gramEnd"/>
            <w:r w:rsidRPr="008308B5">
              <w:rPr>
                <w:rFonts w:ascii="Times New Roman" w:eastAsia="Times New Roman" w:hAnsi="Times New Roman"/>
                <w:sz w:val="24"/>
                <w:szCs w:val="24"/>
                <w:lang w:val="en-US" w:eastAsia="ru-RU"/>
              </w:rPr>
              <w:t xml:space="preserve"> improve and develop his intellectual and cultural level, to build </w:t>
            </w:r>
            <w:r w:rsidRPr="008308B5">
              <w:rPr>
                <w:rFonts w:ascii="Times New Roman" w:eastAsia="Times New Roman" w:hAnsi="Times New Roman"/>
                <w:sz w:val="24"/>
                <w:szCs w:val="24"/>
                <w:lang w:val="en-US" w:eastAsia="ru-RU"/>
              </w:rPr>
              <w:lastRenderedPageBreak/>
              <w:t>a trajectory of professional development and career (УК-4)</w:t>
            </w:r>
          </w:p>
          <w:p w:rsidR="008308B5" w:rsidRPr="008308B5" w:rsidRDefault="008308B5" w:rsidP="008308B5">
            <w:pPr>
              <w:spacing w:after="0"/>
              <w:contextualSpacing/>
              <w:rPr>
                <w:rFonts w:ascii="Times New Roman" w:eastAsia="Times New Roman" w:hAnsi="Times New Roman"/>
                <w:sz w:val="24"/>
                <w:szCs w:val="24"/>
                <w:lang w:val="en-US" w:eastAsia="ru-RU"/>
              </w:rPr>
            </w:pPr>
            <w:r w:rsidRPr="008308B5">
              <w:rPr>
                <w:rFonts w:ascii="Times New Roman" w:eastAsia="Times New Roman" w:hAnsi="Times New Roman"/>
                <w:sz w:val="24"/>
                <w:szCs w:val="24"/>
                <w:lang w:val="en-US" w:eastAsia="ru-RU"/>
              </w:rPr>
              <w:t>Able to work with information: identify, evaluate and use information from a variety of sources for scientific and professional purposes (including with a systematic approach) (ОПК-1)</w:t>
            </w:r>
          </w:p>
          <w:p w:rsidR="008308B5" w:rsidRPr="008308B5" w:rsidRDefault="008308B5" w:rsidP="008308B5">
            <w:pPr>
              <w:spacing w:after="0"/>
              <w:contextualSpacing/>
              <w:rPr>
                <w:rFonts w:ascii="Times New Roman" w:eastAsia="Times New Roman" w:hAnsi="Times New Roman"/>
                <w:sz w:val="24"/>
                <w:szCs w:val="24"/>
                <w:lang w:val="en-US" w:eastAsia="ru-RU"/>
              </w:rPr>
            </w:pPr>
            <w:proofErr w:type="gramStart"/>
            <w:r w:rsidRPr="008308B5">
              <w:rPr>
                <w:rFonts w:ascii="Times New Roman" w:eastAsia="Times New Roman" w:hAnsi="Times New Roman"/>
                <w:sz w:val="24"/>
                <w:szCs w:val="24"/>
                <w:lang w:val="en-US" w:eastAsia="ru-RU"/>
              </w:rPr>
              <w:t>Is able to</w:t>
            </w:r>
            <w:proofErr w:type="gramEnd"/>
            <w:r w:rsidRPr="008308B5">
              <w:rPr>
                <w:rFonts w:ascii="Times New Roman" w:eastAsia="Times New Roman" w:hAnsi="Times New Roman"/>
                <w:sz w:val="24"/>
                <w:szCs w:val="24"/>
                <w:lang w:val="en-US" w:eastAsia="ru-RU"/>
              </w:rPr>
              <w:t xml:space="preserve"> analyze historical sources, scientific texts and reports, to review scientific literature in Russian and foreign languages (ОПК-2)</w:t>
            </w:r>
          </w:p>
          <w:p w:rsidR="008308B5" w:rsidRPr="008308B5" w:rsidRDefault="008308B5" w:rsidP="008308B5">
            <w:pPr>
              <w:spacing w:after="0"/>
              <w:contextualSpacing/>
              <w:rPr>
                <w:rFonts w:ascii="Times New Roman" w:eastAsia="Times New Roman" w:hAnsi="Times New Roman"/>
                <w:sz w:val="24"/>
                <w:szCs w:val="24"/>
                <w:lang w:val="en-US" w:eastAsia="ru-RU"/>
              </w:rPr>
            </w:pPr>
            <w:r w:rsidRPr="008308B5">
              <w:rPr>
                <w:rFonts w:ascii="Times New Roman" w:eastAsia="Times New Roman" w:hAnsi="Times New Roman"/>
                <w:sz w:val="24"/>
                <w:szCs w:val="24"/>
                <w:lang w:val="en-US" w:eastAsia="ru-RU"/>
              </w:rPr>
              <w:t xml:space="preserve">Is able to present historical information in a scientific and popular </w:t>
            </w:r>
            <w:proofErr w:type="gramStart"/>
            <w:r w:rsidRPr="008308B5">
              <w:rPr>
                <w:rFonts w:ascii="Times New Roman" w:eastAsia="Times New Roman" w:hAnsi="Times New Roman"/>
                <w:sz w:val="24"/>
                <w:szCs w:val="24"/>
                <w:lang w:val="en-US" w:eastAsia="ru-RU"/>
              </w:rPr>
              <w:t>form  (</w:t>
            </w:r>
            <w:proofErr w:type="gramEnd"/>
            <w:r w:rsidRPr="008308B5">
              <w:rPr>
                <w:rFonts w:ascii="Times New Roman" w:eastAsia="Times New Roman" w:hAnsi="Times New Roman"/>
                <w:sz w:val="24"/>
                <w:szCs w:val="24"/>
                <w:lang w:val="en-US" w:eastAsia="ru-RU"/>
              </w:rPr>
              <w:t>ОПК-3)</w:t>
            </w:r>
          </w:p>
          <w:p w:rsidR="008308B5" w:rsidRPr="008308B5" w:rsidRDefault="008308B5" w:rsidP="008308B5">
            <w:pPr>
              <w:spacing w:after="0"/>
              <w:contextualSpacing/>
              <w:rPr>
                <w:rFonts w:ascii="Times New Roman" w:eastAsia="Times New Roman" w:hAnsi="Times New Roman"/>
                <w:sz w:val="24"/>
                <w:szCs w:val="24"/>
                <w:lang w:val="en-US" w:eastAsia="ru-RU"/>
              </w:rPr>
            </w:pPr>
            <w:proofErr w:type="gramStart"/>
            <w:r w:rsidRPr="008308B5">
              <w:rPr>
                <w:rFonts w:ascii="Times New Roman" w:eastAsia="Times New Roman" w:hAnsi="Times New Roman"/>
                <w:sz w:val="24"/>
                <w:szCs w:val="24"/>
                <w:lang w:val="en-US" w:eastAsia="ru-RU"/>
              </w:rPr>
              <w:t>Is able to</w:t>
            </w:r>
            <w:proofErr w:type="gramEnd"/>
            <w:r w:rsidRPr="008308B5">
              <w:rPr>
                <w:rFonts w:ascii="Times New Roman" w:eastAsia="Times New Roman" w:hAnsi="Times New Roman"/>
                <w:sz w:val="24"/>
                <w:szCs w:val="24"/>
                <w:lang w:val="en-US" w:eastAsia="ru-RU"/>
              </w:rPr>
              <w:t xml:space="preserve"> create and edit scientific and popular texts, to present complex historical information in a publicly accessible form (ОПК-4)</w:t>
            </w:r>
          </w:p>
          <w:p w:rsidR="008308B5" w:rsidRPr="008308B5" w:rsidRDefault="008308B5" w:rsidP="008308B5">
            <w:pPr>
              <w:spacing w:after="0"/>
              <w:contextualSpacing/>
              <w:rPr>
                <w:rFonts w:ascii="Times New Roman" w:eastAsia="Times New Roman" w:hAnsi="Times New Roman"/>
                <w:sz w:val="24"/>
                <w:szCs w:val="24"/>
                <w:lang w:val="en-US" w:eastAsia="ru-RU"/>
              </w:rPr>
            </w:pPr>
            <w:r w:rsidRPr="008308B5">
              <w:rPr>
                <w:rFonts w:ascii="Times New Roman" w:eastAsia="Times New Roman" w:hAnsi="Times New Roman"/>
                <w:sz w:val="24"/>
                <w:szCs w:val="24"/>
                <w:lang w:val="en-US" w:eastAsia="ru-RU"/>
              </w:rPr>
              <w:t>Capable of conducting independent research, including problem analysis, setting goals and objectives, identifying the object and subject of research, choosing the mode and methods of research, and assessing its quality (ОПК-7)</w:t>
            </w:r>
          </w:p>
          <w:p w:rsidR="008308B5" w:rsidRPr="008308B5" w:rsidRDefault="008308B5" w:rsidP="008308B5">
            <w:pPr>
              <w:spacing w:after="0"/>
              <w:contextualSpacing/>
              <w:rPr>
                <w:rFonts w:ascii="Times New Roman" w:eastAsia="Times New Roman" w:hAnsi="Times New Roman"/>
                <w:sz w:val="24"/>
                <w:szCs w:val="24"/>
                <w:lang w:val="en-US" w:eastAsia="ru-RU"/>
              </w:rPr>
            </w:pPr>
            <w:proofErr w:type="gramStart"/>
            <w:r w:rsidRPr="008308B5">
              <w:rPr>
                <w:rFonts w:ascii="Times New Roman" w:eastAsia="Times New Roman" w:hAnsi="Times New Roman"/>
                <w:sz w:val="24"/>
                <w:szCs w:val="24"/>
                <w:lang w:val="en-US" w:eastAsia="ru-RU"/>
              </w:rPr>
              <w:t>Is able to</w:t>
            </w:r>
            <w:proofErr w:type="gramEnd"/>
            <w:r w:rsidRPr="008308B5">
              <w:rPr>
                <w:rFonts w:ascii="Times New Roman" w:eastAsia="Times New Roman" w:hAnsi="Times New Roman"/>
                <w:sz w:val="24"/>
                <w:szCs w:val="24"/>
                <w:lang w:val="en-US" w:eastAsia="ru-RU"/>
              </w:rPr>
              <w:t xml:space="preserve"> conduct independent fundamental and applied research using classical and modern methodology, analysis of problems, setting goals and objectives, selection of the object and subject of research, choice of research mode and methods, as well as assessment of its quality (ПК-1)</w:t>
            </w:r>
          </w:p>
          <w:p w:rsidR="008308B5" w:rsidRPr="008308B5" w:rsidRDefault="008308B5" w:rsidP="008308B5">
            <w:pPr>
              <w:spacing w:after="0"/>
              <w:contextualSpacing/>
              <w:rPr>
                <w:rFonts w:ascii="Times New Roman" w:eastAsia="Times New Roman" w:hAnsi="Times New Roman"/>
                <w:sz w:val="24"/>
                <w:szCs w:val="24"/>
                <w:lang w:val="en-US" w:eastAsia="ru-RU"/>
              </w:rPr>
            </w:pPr>
            <w:proofErr w:type="gramStart"/>
            <w:r w:rsidRPr="008308B5">
              <w:rPr>
                <w:rFonts w:ascii="Times New Roman" w:eastAsia="Times New Roman" w:hAnsi="Times New Roman"/>
                <w:sz w:val="24"/>
                <w:szCs w:val="24"/>
                <w:lang w:val="en-US" w:eastAsia="ru-RU"/>
              </w:rPr>
              <w:t>Is able to</w:t>
            </w:r>
            <w:proofErr w:type="gramEnd"/>
            <w:r w:rsidRPr="008308B5">
              <w:rPr>
                <w:rFonts w:ascii="Times New Roman" w:eastAsia="Times New Roman" w:hAnsi="Times New Roman"/>
                <w:sz w:val="24"/>
                <w:szCs w:val="24"/>
                <w:lang w:val="en-US" w:eastAsia="ru-RU"/>
              </w:rPr>
              <w:t xml:space="preserve"> analyze and propose scientific interpretation of historical events in their interrelation in accordance with the requirements of modern historical science (ПК-2)</w:t>
            </w:r>
          </w:p>
          <w:p w:rsidR="008308B5" w:rsidRPr="008308B5" w:rsidRDefault="008308B5" w:rsidP="008308B5">
            <w:pPr>
              <w:spacing w:after="0"/>
              <w:contextualSpacing/>
              <w:rPr>
                <w:rFonts w:ascii="Times New Roman" w:eastAsia="Times New Roman" w:hAnsi="Times New Roman"/>
                <w:sz w:val="24"/>
                <w:szCs w:val="24"/>
                <w:lang w:val="en-US" w:eastAsia="ru-RU"/>
              </w:rPr>
            </w:pPr>
            <w:proofErr w:type="gramStart"/>
            <w:r w:rsidRPr="008308B5">
              <w:rPr>
                <w:rFonts w:ascii="Times New Roman" w:eastAsia="Times New Roman" w:hAnsi="Times New Roman"/>
                <w:sz w:val="24"/>
                <w:szCs w:val="24"/>
                <w:lang w:val="en-US" w:eastAsia="ru-RU"/>
              </w:rPr>
              <w:t>Is able to</w:t>
            </w:r>
            <w:proofErr w:type="gramEnd"/>
            <w:r w:rsidRPr="008308B5">
              <w:rPr>
                <w:rFonts w:ascii="Times New Roman" w:eastAsia="Times New Roman" w:hAnsi="Times New Roman"/>
                <w:sz w:val="24"/>
                <w:szCs w:val="24"/>
                <w:lang w:val="en-US" w:eastAsia="ru-RU"/>
              </w:rPr>
              <w:t xml:space="preserve"> take part in scientific polemics in oral and written form (ПК-4)</w:t>
            </w:r>
          </w:p>
          <w:p w:rsidR="00C42A27" w:rsidRDefault="008308B5" w:rsidP="008308B5">
            <w:pPr>
              <w:spacing w:after="0" w:line="240" w:lineRule="auto"/>
              <w:rPr>
                <w:rFonts w:ascii="Times New Roman" w:eastAsiaTheme="minorHAnsi" w:hAnsi="Times New Roman"/>
                <w:sz w:val="24"/>
                <w:szCs w:val="24"/>
                <w:lang w:val="en-US"/>
              </w:rPr>
            </w:pPr>
            <w:r w:rsidRPr="008308B5">
              <w:rPr>
                <w:rFonts w:ascii="Times New Roman" w:eastAsia="Times New Roman" w:hAnsi="Times New Roman"/>
                <w:sz w:val="24"/>
                <w:szCs w:val="24"/>
                <w:lang w:val="en-US"/>
              </w:rPr>
              <w:t>Capable of extracting, selecting and structuring information from a variety of types of sources according to professional objectives (ПК-7)</w:t>
            </w:r>
            <w:bookmarkStart w:id="0" w:name="_GoBack"/>
            <w:bookmarkEnd w:id="0"/>
          </w:p>
        </w:tc>
      </w:tr>
      <w:tr w:rsidR="00613DC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Default="00613DC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tbl>
            <w:tblPr>
              <w:tblW w:w="7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2802"/>
              <w:gridCol w:w="708"/>
              <w:gridCol w:w="993"/>
              <w:gridCol w:w="1134"/>
              <w:gridCol w:w="992"/>
            </w:tblGrid>
            <w:tr w:rsidR="00C65DEF" w:rsidRPr="00864974" w:rsidTr="00C65DEF">
              <w:trPr>
                <w:trHeight w:val="45"/>
              </w:trPr>
              <w:tc>
                <w:tcPr>
                  <w:tcW w:w="399"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C65DEF" w:rsidRPr="00864974" w:rsidRDefault="00C65DEF" w:rsidP="00F80630">
                  <w:pPr>
                    <w:rPr>
                      <w:rFonts w:eastAsiaTheme="minorHAnsi"/>
                      <w:szCs w:val="24"/>
                      <w:lang w:val="en-US"/>
                    </w:rPr>
                  </w:pPr>
                  <w:r w:rsidRPr="00864974">
                    <w:rPr>
                      <w:szCs w:val="24"/>
                      <w:lang w:val="en-US"/>
                    </w:rPr>
                    <w:t>№</w:t>
                  </w:r>
                </w:p>
              </w:tc>
              <w:tc>
                <w:tcPr>
                  <w:tcW w:w="2802" w:type="dxa"/>
                  <w:vMerge w:val="restart"/>
                  <w:tcBorders>
                    <w:top w:val="single" w:sz="4" w:space="0" w:color="auto"/>
                    <w:left w:val="single" w:sz="4" w:space="0" w:color="auto"/>
                    <w:right w:val="single" w:sz="4" w:space="0" w:color="auto"/>
                  </w:tcBorders>
                  <w:shd w:val="clear" w:color="auto" w:fill="DAEEF3" w:themeFill="accent5" w:themeFillTint="33"/>
                </w:tcPr>
                <w:p w:rsidR="00C65DEF" w:rsidRPr="00864974" w:rsidRDefault="00C65DEF" w:rsidP="00F80630">
                  <w:pPr>
                    <w:jc w:val="center"/>
                    <w:rPr>
                      <w:rFonts w:eastAsiaTheme="minorHAnsi"/>
                      <w:szCs w:val="24"/>
                      <w:lang w:val="en-US"/>
                    </w:rPr>
                  </w:pPr>
                  <w:r w:rsidRPr="00864974">
                    <w:rPr>
                      <w:rFonts w:eastAsiaTheme="minorHAnsi"/>
                      <w:szCs w:val="24"/>
                      <w:lang w:val="en-US"/>
                    </w:rPr>
                    <w:t>Topic / Course Chapter</w:t>
                  </w:r>
                </w:p>
              </w:tc>
              <w:tc>
                <w:tcPr>
                  <w:tcW w:w="708" w:type="dxa"/>
                  <w:vMerge w:val="restart"/>
                  <w:tcBorders>
                    <w:top w:val="single" w:sz="4" w:space="0" w:color="auto"/>
                    <w:left w:val="single" w:sz="4" w:space="0" w:color="auto"/>
                    <w:right w:val="single" w:sz="4" w:space="0" w:color="auto"/>
                  </w:tcBorders>
                  <w:shd w:val="clear" w:color="auto" w:fill="DAEEF3" w:themeFill="accent5" w:themeFillTint="33"/>
                </w:tcPr>
                <w:p w:rsidR="00C65DEF" w:rsidRPr="00864974" w:rsidRDefault="00C65DEF" w:rsidP="00F80630">
                  <w:pPr>
                    <w:jc w:val="center"/>
                    <w:rPr>
                      <w:rFonts w:eastAsiaTheme="minorHAnsi"/>
                      <w:szCs w:val="24"/>
                      <w:lang w:val="en-US"/>
                    </w:rPr>
                  </w:pPr>
                  <w:r w:rsidRPr="00864974">
                    <w:rPr>
                      <w:rFonts w:eastAsiaTheme="minorHAnsi"/>
                      <w:szCs w:val="24"/>
                      <w:lang w:val="en-US"/>
                    </w:rPr>
                    <w:t>Total</w:t>
                  </w:r>
                </w:p>
                <w:p w:rsidR="00C65DEF" w:rsidRPr="00864974" w:rsidRDefault="00C65DEF" w:rsidP="00F80630">
                  <w:pPr>
                    <w:jc w:val="center"/>
                    <w:rPr>
                      <w:rFonts w:eastAsiaTheme="minorHAnsi"/>
                      <w:szCs w:val="24"/>
                      <w:lang w:val="en-US"/>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65DEF" w:rsidRPr="00864974" w:rsidRDefault="00C65DEF" w:rsidP="00F80630">
                  <w:pPr>
                    <w:rPr>
                      <w:rFonts w:eastAsiaTheme="minorHAnsi"/>
                      <w:szCs w:val="24"/>
                      <w:lang w:val="en-US"/>
                    </w:rPr>
                  </w:pPr>
                  <w:r w:rsidRPr="00864974">
                    <w:rPr>
                      <w:rFonts w:eastAsiaTheme="minorHAnsi"/>
                      <w:szCs w:val="24"/>
                      <w:lang w:val="en-US"/>
                    </w:rPr>
                    <w:t>Directed Study</w:t>
                  </w:r>
                </w:p>
              </w:tc>
              <w:tc>
                <w:tcPr>
                  <w:tcW w:w="992" w:type="dxa"/>
                  <w:vMerge w:val="restart"/>
                  <w:tcBorders>
                    <w:top w:val="single" w:sz="4" w:space="0" w:color="auto"/>
                    <w:left w:val="single" w:sz="4" w:space="0" w:color="auto"/>
                    <w:right w:val="single" w:sz="4" w:space="0" w:color="auto"/>
                  </w:tcBorders>
                  <w:shd w:val="clear" w:color="auto" w:fill="DAEEF3" w:themeFill="accent5" w:themeFillTint="33"/>
                </w:tcPr>
                <w:p w:rsidR="00C65DEF" w:rsidRPr="00864974" w:rsidRDefault="00C65DEF" w:rsidP="00F80630">
                  <w:pPr>
                    <w:rPr>
                      <w:rFonts w:eastAsiaTheme="minorHAnsi"/>
                      <w:szCs w:val="24"/>
                      <w:lang w:val="en-US"/>
                    </w:rPr>
                  </w:pPr>
                  <w:r w:rsidRPr="00864974">
                    <w:rPr>
                      <w:rFonts w:eastAsiaTheme="minorHAnsi"/>
                      <w:szCs w:val="24"/>
                      <w:lang w:val="en-US"/>
                    </w:rPr>
                    <w:t>Self-directed Study</w:t>
                  </w:r>
                </w:p>
              </w:tc>
            </w:tr>
            <w:tr w:rsidR="00C65DEF" w:rsidRPr="00864974" w:rsidTr="00C65DEF">
              <w:trPr>
                <w:trHeight w:val="45"/>
              </w:trPr>
              <w:tc>
                <w:tcPr>
                  <w:tcW w:w="399"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5DEF" w:rsidRPr="00864974" w:rsidRDefault="00C65DEF" w:rsidP="00F80630">
                  <w:pPr>
                    <w:rPr>
                      <w:rFonts w:eastAsiaTheme="minorHAnsi"/>
                      <w:szCs w:val="24"/>
                      <w:lang w:val="en-US"/>
                    </w:rPr>
                  </w:pPr>
                </w:p>
              </w:tc>
              <w:tc>
                <w:tcPr>
                  <w:tcW w:w="2802" w:type="dxa"/>
                  <w:vMerge/>
                  <w:tcBorders>
                    <w:left w:val="single" w:sz="4" w:space="0" w:color="auto"/>
                    <w:bottom w:val="single" w:sz="4" w:space="0" w:color="auto"/>
                    <w:right w:val="single" w:sz="4" w:space="0" w:color="auto"/>
                  </w:tcBorders>
                  <w:shd w:val="clear" w:color="auto" w:fill="auto"/>
                </w:tcPr>
                <w:p w:rsidR="00C65DEF" w:rsidRPr="00864974" w:rsidRDefault="00C65DEF" w:rsidP="00F80630">
                  <w:pPr>
                    <w:rPr>
                      <w:rFonts w:eastAsiaTheme="minorHAnsi"/>
                      <w:szCs w:val="24"/>
                      <w:lang w:val="en-US"/>
                    </w:rPr>
                  </w:pPr>
                </w:p>
              </w:tc>
              <w:tc>
                <w:tcPr>
                  <w:tcW w:w="708" w:type="dxa"/>
                  <w:vMerge/>
                  <w:tcBorders>
                    <w:left w:val="single" w:sz="4" w:space="0" w:color="auto"/>
                    <w:bottom w:val="single" w:sz="4" w:space="0" w:color="auto"/>
                    <w:right w:val="single" w:sz="4" w:space="0" w:color="auto"/>
                  </w:tcBorders>
                  <w:shd w:val="clear" w:color="auto" w:fill="auto"/>
                </w:tcPr>
                <w:p w:rsidR="00C65DEF" w:rsidRPr="00864974" w:rsidRDefault="00C65DEF" w:rsidP="00F80630">
                  <w:pPr>
                    <w:rPr>
                      <w:rFonts w:eastAsiaTheme="minorHAns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65DEF" w:rsidRPr="00864974" w:rsidRDefault="00C65DEF" w:rsidP="00F80630">
                  <w:pPr>
                    <w:rPr>
                      <w:rFonts w:eastAsiaTheme="minorHAnsi"/>
                      <w:szCs w:val="24"/>
                      <w:lang w:val="en-US"/>
                    </w:rPr>
                  </w:pPr>
                  <w:r w:rsidRPr="00864974">
                    <w:rPr>
                      <w:rFonts w:eastAsiaTheme="minorHAnsi"/>
                      <w:szCs w:val="24"/>
                      <w:lang w:val="en-US"/>
                    </w:rPr>
                    <w:t>Lectures</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65DEF" w:rsidRPr="00864974" w:rsidRDefault="00C65DEF" w:rsidP="00F80630">
                  <w:pPr>
                    <w:rPr>
                      <w:rFonts w:eastAsiaTheme="minorHAnsi"/>
                      <w:szCs w:val="24"/>
                      <w:lang w:val="en-US"/>
                    </w:rPr>
                  </w:pPr>
                  <w:r w:rsidRPr="00864974">
                    <w:rPr>
                      <w:rFonts w:eastAsiaTheme="minorHAnsi"/>
                      <w:szCs w:val="24"/>
                      <w:lang w:val="en-US"/>
                    </w:rPr>
                    <w:t>Tutorials</w:t>
                  </w:r>
                </w:p>
              </w:tc>
              <w:tc>
                <w:tcPr>
                  <w:tcW w:w="992" w:type="dxa"/>
                  <w:vMerge/>
                  <w:tcBorders>
                    <w:left w:val="single" w:sz="4" w:space="0" w:color="auto"/>
                    <w:bottom w:val="single" w:sz="4" w:space="0" w:color="auto"/>
                    <w:right w:val="single" w:sz="4" w:space="0" w:color="auto"/>
                  </w:tcBorders>
                  <w:shd w:val="clear" w:color="auto" w:fill="auto"/>
                </w:tcPr>
                <w:p w:rsidR="00C65DEF" w:rsidRPr="00864974" w:rsidRDefault="00C65DEF" w:rsidP="00F80630">
                  <w:pPr>
                    <w:rPr>
                      <w:rFonts w:eastAsiaTheme="minorHAnsi"/>
                      <w:szCs w:val="24"/>
                      <w:lang w:val="en-US"/>
                    </w:rPr>
                  </w:pPr>
                </w:p>
              </w:tc>
            </w:tr>
            <w:tr w:rsidR="00C65DEF" w:rsidRPr="005A538D" w:rsidTr="00C65DEF">
              <w:trPr>
                <w:trHeight w:val="45"/>
              </w:trPr>
              <w:tc>
                <w:tcPr>
                  <w:tcW w:w="39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5DEF" w:rsidRPr="00864974" w:rsidRDefault="00C65DEF" w:rsidP="00C65DEF">
                  <w:pPr>
                    <w:rPr>
                      <w:rFonts w:eastAsiaTheme="minorHAnsi"/>
                      <w:szCs w:val="24"/>
                      <w:lang w:val="en-US"/>
                    </w:rPr>
                  </w:pPr>
                  <w:r w:rsidRPr="00864974">
                    <w:rPr>
                      <w:rFonts w:eastAsiaTheme="minorHAnsi"/>
                      <w:szCs w:val="24"/>
                      <w:lang w:val="en-US"/>
                    </w:rPr>
                    <w:t>1</w:t>
                  </w: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C65DEF" w:rsidRPr="005A538D" w:rsidRDefault="00C65DEF" w:rsidP="00F80630">
                  <w:pPr>
                    <w:pStyle w:val="2"/>
                    <w:contextualSpacing w:val="0"/>
                    <w:rPr>
                      <w:rFonts w:ascii="Times New Roman" w:eastAsia="Times New Roman" w:hAnsi="Times New Roman" w:cs="Times New Roman"/>
                      <w:sz w:val="24"/>
                      <w:szCs w:val="24"/>
                      <w:lang w:val="en-US"/>
                    </w:rPr>
                  </w:pPr>
                  <w:r w:rsidRPr="005A538D">
                    <w:rPr>
                      <w:rFonts w:ascii="Times New Roman" w:hAnsi="Times New Roman" w:cs="Times New Roman"/>
                      <w:sz w:val="24"/>
                      <w:szCs w:val="24"/>
                      <w:lang w:val="en-US"/>
                    </w:rPr>
                    <w:t>Modern European culture and origin of museums and concept of heritage</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65DEF" w:rsidRPr="005A538D" w:rsidRDefault="00C65DEF" w:rsidP="00F80630">
                  <w:pPr>
                    <w:rPr>
                      <w:rFonts w:eastAsiaTheme="minorHAnsi"/>
                      <w:szCs w:val="24"/>
                    </w:rPr>
                  </w:pPr>
                  <w:r w:rsidRPr="005A538D">
                    <w:rPr>
                      <w:rFonts w:eastAsiaTheme="minorHAnsi"/>
                      <w:szCs w:val="24"/>
                    </w:rPr>
                    <w:t>24</w:t>
                  </w:r>
                </w:p>
              </w:tc>
              <w:tc>
                <w:tcPr>
                  <w:tcW w:w="993" w:type="dxa"/>
                  <w:tcBorders>
                    <w:top w:val="single" w:sz="4" w:space="0" w:color="auto"/>
                    <w:left w:val="single" w:sz="4" w:space="0" w:color="auto"/>
                    <w:bottom w:val="single" w:sz="4" w:space="0" w:color="auto"/>
                    <w:right w:val="single" w:sz="4" w:space="0" w:color="auto"/>
                  </w:tcBorders>
                  <w:vAlign w:val="bottom"/>
                </w:tcPr>
                <w:p w:rsidR="00C65DEF" w:rsidRPr="005A538D" w:rsidRDefault="00C65DEF" w:rsidP="00F80630">
                  <w:pPr>
                    <w:spacing w:line="260" w:lineRule="exact"/>
                    <w:ind w:left="80"/>
                    <w:rPr>
                      <w:sz w:val="20"/>
                      <w:szCs w:val="20"/>
                      <w:lang w:val="en-US"/>
                    </w:rPr>
                  </w:pPr>
                  <w:r w:rsidRPr="005A538D">
                    <w:rPr>
                      <w:color w:val="222222"/>
                      <w:szCs w:val="24"/>
                      <w:lang w:val="en-US"/>
                    </w:rPr>
                    <w:t>2</w:t>
                  </w:r>
                </w:p>
              </w:tc>
              <w:tc>
                <w:tcPr>
                  <w:tcW w:w="1134" w:type="dxa"/>
                  <w:tcBorders>
                    <w:top w:val="single" w:sz="4" w:space="0" w:color="auto"/>
                    <w:left w:val="single" w:sz="4" w:space="0" w:color="auto"/>
                    <w:bottom w:val="single" w:sz="4" w:space="0" w:color="auto"/>
                    <w:right w:val="single" w:sz="4" w:space="0" w:color="auto"/>
                  </w:tcBorders>
                  <w:vAlign w:val="bottom"/>
                </w:tcPr>
                <w:p w:rsidR="00C65DEF" w:rsidRPr="005A538D" w:rsidRDefault="00C65DEF" w:rsidP="00F80630">
                  <w:pPr>
                    <w:spacing w:line="260" w:lineRule="exact"/>
                    <w:ind w:left="80"/>
                    <w:rPr>
                      <w:sz w:val="20"/>
                      <w:szCs w:val="20"/>
                      <w:lang w:val="en-US"/>
                    </w:rPr>
                  </w:pPr>
                  <w:r w:rsidRPr="005A538D">
                    <w:rPr>
                      <w:color w:val="222222"/>
                      <w:szCs w:val="24"/>
                      <w:lang w:val="en-US"/>
                    </w:rPr>
                    <w:t>2</w:t>
                  </w:r>
                </w:p>
              </w:tc>
              <w:tc>
                <w:tcPr>
                  <w:tcW w:w="992" w:type="dxa"/>
                  <w:tcBorders>
                    <w:top w:val="single" w:sz="4" w:space="0" w:color="auto"/>
                    <w:left w:val="single" w:sz="4" w:space="0" w:color="auto"/>
                    <w:bottom w:val="single" w:sz="4" w:space="0" w:color="auto"/>
                    <w:right w:val="single" w:sz="4" w:space="0" w:color="auto"/>
                  </w:tcBorders>
                  <w:vAlign w:val="bottom"/>
                </w:tcPr>
                <w:p w:rsidR="00C65DEF" w:rsidRPr="005A538D" w:rsidRDefault="00C65DEF" w:rsidP="00F80630">
                  <w:pPr>
                    <w:spacing w:line="260" w:lineRule="exact"/>
                    <w:ind w:left="80"/>
                    <w:rPr>
                      <w:sz w:val="20"/>
                      <w:szCs w:val="20"/>
                    </w:rPr>
                  </w:pPr>
                  <w:r w:rsidRPr="005A538D">
                    <w:rPr>
                      <w:color w:val="222222"/>
                      <w:szCs w:val="24"/>
                    </w:rPr>
                    <w:t>20</w:t>
                  </w:r>
                </w:p>
              </w:tc>
            </w:tr>
            <w:tr w:rsidR="00C65DEF" w:rsidRPr="005A538D" w:rsidTr="00C65DEF">
              <w:trPr>
                <w:trHeight w:val="45"/>
              </w:trPr>
              <w:tc>
                <w:tcPr>
                  <w:tcW w:w="39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5DEF" w:rsidRPr="00864974" w:rsidRDefault="00C65DEF" w:rsidP="00C65DEF">
                  <w:pPr>
                    <w:rPr>
                      <w:rFonts w:eastAsiaTheme="minorHAnsi"/>
                      <w:szCs w:val="24"/>
                      <w:lang w:val="en-US"/>
                    </w:rPr>
                  </w:pPr>
                  <w:r w:rsidRPr="00864974">
                    <w:rPr>
                      <w:rFonts w:eastAsiaTheme="minorHAnsi"/>
                      <w:szCs w:val="24"/>
                      <w:lang w:val="en-US"/>
                    </w:rPr>
                    <w:t>2</w:t>
                  </w: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C65DEF" w:rsidRPr="005A538D" w:rsidRDefault="00C65DEF" w:rsidP="00F80630">
                  <w:pPr>
                    <w:pStyle w:val="2"/>
                    <w:contextualSpacing w:val="0"/>
                    <w:rPr>
                      <w:rFonts w:ascii="Times New Roman" w:eastAsia="Times New Roman" w:hAnsi="Times New Roman" w:cs="Times New Roman"/>
                      <w:sz w:val="24"/>
                      <w:szCs w:val="24"/>
                      <w:lang w:val="en-US"/>
                    </w:rPr>
                  </w:pPr>
                  <w:r w:rsidRPr="005A538D">
                    <w:rPr>
                      <w:rFonts w:ascii="Times New Roman" w:hAnsi="Times New Roman" w:cs="Times New Roman"/>
                      <w:sz w:val="24"/>
                      <w:szCs w:val="24"/>
                      <w:lang w:val="en-US"/>
                    </w:rPr>
                    <w:t>Management of heritage. Preservation, consumption and destruction of heritage</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65DEF" w:rsidRPr="005A538D" w:rsidRDefault="00C65DEF" w:rsidP="00F80630">
                  <w:pPr>
                    <w:rPr>
                      <w:rFonts w:eastAsiaTheme="minorHAnsi"/>
                      <w:szCs w:val="24"/>
                    </w:rPr>
                  </w:pPr>
                  <w:r w:rsidRPr="005A538D">
                    <w:rPr>
                      <w:rFonts w:eastAsiaTheme="minorHAnsi"/>
                      <w:szCs w:val="24"/>
                    </w:rPr>
                    <w:t>38</w:t>
                  </w:r>
                </w:p>
              </w:tc>
              <w:tc>
                <w:tcPr>
                  <w:tcW w:w="993" w:type="dxa"/>
                  <w:tcBorders>
                    <w:top w:val="single" w:sz="4" w:space="0" w:color="auto"/>
                    <w:left w:val="single" w:sz="4" w:space="0" w:color="auto"/>
                    <w:bottom w:val="single" w:sz="4" w:space="0" w:color="auto"/>
                    <w:right w:val="single" w:sz="4" w:space="0" w:color="auto"/>
                  </w:tcBorders>
                  <w:vAlign w:val="bottom"/>
                </w:tcPr>
                <w:p w:rsidR="00C65DEF" w:rsidRPr="005A538D" w:rsidRDefault="00C65DEF" w:rsidP="00F80630">
                  <w:pPr>
                    <w:spacing w:line="264" w:lineRule="exact"/>
                    <w:ind w:left="80"/>
                    <w:rPr>
                      <w:sz w:val="20"/>
                      <w:szCs w:val="20"/>
                      <w:lang w:val="en-US"/>
                    </w:rPr>
                  </w:pPr>
                  <w:r w:rsidRPr="005A538D">
                    <w:rPr>
                      <w:color w:val="222222"/>
                      <w:szCs w:val="24"/>
                      <w:lang w:val="en-US"/>
                    </w:rPr>
                    <w:t>4</w:t>
                  </w:r>
                </w:p>
              </w:tc>
              <w:tc>
                <w:tcPr>
                  <w:tcW w:w="1134" w:type="dxa"/>
                  <w:tcBorders>
                    <w:top w:val="single" w:sz="4" w:space="0" w:color="auto"/>
                    <w:left w:val="single" w:sz="4" w:space="0" w:color="auto"/>
                    <w:bottom w:val="single" w:sz="4" w:space="0" w:color="auto"/>
                    <w:right w:val="single" w:sz="4" w:space="0" w:color="auto"/>
                  </w:tcBorders>
                  <w:vAlign w:val="bottom"/>
                </w:tcPr>
                <w:p w:rsidR="00C65DEF" w:rsidRPr="005A538D" w:rsidRDefault="00C65DEF" w:rsidP="00F80630">
                  <w:pPr>
                    <w:spacing w:line="264" w:lineRule="exact"/>
                    <w:ind w:left="80"/>
                    <w:rPr>
                      <w:sz w:val="20"/>
                      <w:szCs w:val="20"/>
                      <w:lang w:val="en-US"/>
                    </w:rPr>
                  </w:pPr>
                  <w:r w:rsidRPr="005A538D">
                    <w:rPr>
                      <w:color w:val="222222"/>
                      <w:szCs w:val="24"/>
                      <w:lang w:val="en-US"/>
                    </w:rPr>
                    <w:t>4</w:t>
                  </w:r>
                </w:p>
              </w:tc>
              <w:tc>
                <w:tcPr>
                  <w:tcW w:w="992" w:type="dxa"/>
                  <w:tcBorders>
                    <w:top w:val="single" w:sz="4" w:space="0" w:color="auto"/>
                    <w:left w:val="single" w:sz="4" w:space="0" w:color="auto"/>
                    <w:bottom w:val="single" w:sz="4" w:space="0" w:color="auto"/>
                    <w:right w:val="single" w:sz="4" w:space="0" w:color="auto"/>
                  </w:tcBorders>
                  <w:vAlign w:val="bottom"/>
                </w:tcPr>
                <w:p w:rsidR="00C65DEF" w:rsidRPr="005A538D" w:rsidRDefault="00C65DEF" w:rsidP="00F80630">
                  <w:pPr>
                    <w:spacing w:line="264" w:lineRule="exact"/>
                    <w:ind w:left="80"/>
                    <w:rPr>
                      <w:sz w:val="20"/>
                      <w:szCs w:val="20"/>
                    </w:rPr>
                  </w:pPr>
                  <w:r w:rsidRPr="005A538D">
                    <w:rPr>
                      <w:color w:val="222222"/>
                      <w:szCs w:val="24"/>
                    </w:rPr>
                    <w:t>30</w:t>
                  </w:r>
                </w:p>
              </w:tc>
            </w:tr>
            <w:tr w:rsidR="00C65DEF" w:rsidRPr="005A538D" w:rsidTr="00C65DEF">
              <w:trPr>
                <w:trHeight w:val="45"/>
              </w:trPr>
              <w:tc>
                <w:tcPr>
                  <w:tcW w:w="39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65DEF" w:rsidRPr="00864974" w:rsidRDefault="00C65DEF" w:rsidP="00C65DEF">
                  <w:pPr>
                    <w:rPr>
                      <w:rFonts w:eastAsiaTheme="minorHAnsi"/>
                      <w:szCs w:val="24"/>
                      <w:lang w:val="en-US"/>
                    </w:rPr>
                  </w:pPr>
                  <w:r w:rsidRPr="00864974">
                    <w:rPr>
                      <w:rFonts w:eastAsiaTheme="minorHAnsi"/>
                      <w:szCs w:val="24"/>
                      <w:lang w:val="en-US"/>
                    </w:rPr>
                    <w:t>3</w:t>
                  </w: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C65DEF" w:rsidRPr="005A538D" w:rsidRDefault="00C65DEF" w:rsidP="00F80630">
                  <w:pPr>
                    <w:pStyle w:val="2"/>
                    <w:contextualSpacing w:val="0"/>
                    <w:rPr>
                      <w:rFonts w:ascii="Times New Roman" w:eastAsia="Times New Roman" w:hAnsi="Times New Roman" w:cs="Times New Roman"/>
                      <w:sz w:val="24"/>
                      <w:szCs w:val="24"/>
                      <w:lang w:val="en-US"/>
                    </w:rPr>
                  </w:pPr>
                  <w:r w:rsidRPr="005A538D">
                    <w:rPr>
                      <w:rFonts w:ascii="Times New Roman" w:eastAsia="Times New Roman" w:hAnsi="Times New Roman" w:cs="Times New Roman"/>
                      <w:bCs/>
                      <w:sz w:val="24"/>
                      <w:szCs w:val="24"/>
                      <w:lang w:val="en-US" w:eastAsia="en-US"/>
                    </w:rPr>
                    <w:t xml:space="preserve">Heritage management practices.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65DEF" w:rsidRPr="005A538D" w:rsidRDefault="00C65DEF" w:rsidP="00F80630">
                  <w:pPr>
                    <w:rPr>
                      <w:rFonts w:eastAsiaTheme="minorHAnsi"/>
                      <w:szCs w:val="24"/>
                    </w:rPr>
                  </w:pPr>
                  <w:r w:rsidRPr="005A538D">
                    <w:rPr>
                      <w:rFonts w:eastAsiaTheme="minorHAnsi"/>
                      <w:szCs w:val="24"/>
                    </w:rPr>
                    <w:t>52</w:t>
                  </w:r>
                </w:p>
              </w:tc>
              <w:tc>
                <w:tcPr>
                  <w:tcW w:w="993" w:type="dxa"/>
                  <w:tcBorders>
                    <w:top w:val="single" w:sz="4" w:space="0" w:color="auto"/>
                    <w:left w:val="single" w:sz="4" w:space="0" w:color="auto"/>
                    <w:bottom w:val="single" w:sz="4" w:space="0" w:color="auto"/>
                    <w:right w:val="single" w:sz="4" w:space="0" w:color="auto"/>
                  </w:tcBorders>
                  <w:vAlign w:val="bottom"/>
                </w:tcPr>
                <w:p w:rsidR="00C65DEF" w:rsidRPr="005A538D" w:rsidRDefault="00C65DEF" w:rsidP="00F80630">
                  <w:pPr>
                    <w:spacing w:line="260" w:lineRule="exact"/>
                    <w:ind w:left="80"/>
                    <w:rPr>
                      <w:sz w:val="20"/>
                      <w:szCs w:val="20"/>
                      <w:lang w:val="en-US"/>
                    </w:rPr>
                  </w:pPr>
                  <w:r w:rsidRPr="005A538D">
                    <w:rPr>
                      <w:color w:val="222222"/>
                      <w:szCs w:val="24"/>
                      <w:lang w:val="en-US"/>
                    </w:rPr>
                    <w:t>6</w:t>
                  </w:r>
                </w:p>
              </w:tc>
              <w:tc>
                <w:tcPr>
                  <w:tcW w:w="1134" w:type="dxa"/>
                  <w:tcBorders>
                    <w:top w:val="single" w:sz="4" w:space="0" w:color="auto"/>
                    <w:left w:val="single" w:sz="4" w:space="0" w:color="auto"/>
                    <w:bottom w:val="single" w:sz="4" w:space="0" w:color="auto"/>
                    <w:right w:val="single" w:sz="4" w:space="0" w:color="auto"/>
                  </w:tcBorders>
                  <w:vAlign w:val="bottom"/>
                </w:tcPr>
                <w:p w:rsidR="00C65DEF" w:rsidRPr="005A538D" w:rsidRDefault="00C65DEF" w:rsidP="00F80630">
                  <w:pPr>
                    <w:spacing w:line="260" w:lineRule="exact"/>
                    <w:ind w:left="80"/>
                    <w:rPr>
                      <w:sz w:val="20"/>
                      <w:szCs w:val="20"/>
                      <w:lang w:val="en-US"/>
                    </w:rPr>
                  </w:pPr>
                  <w:r w:rsidRPr="005A538D">
                    <w:rPr>
                      <w:color w:val="222222"/>
                      <w:szCs w:val="24"/>
                      <w:lang w:val="en-US"/>
                    </w:rPr>
                    <w:t>6</w:t>
                  </w:r>
                </w:p>
              </w:tc>
              <w:tc>
                <w:tcPr>
                  <w:tcW w:w="992" w:type="dxa"/>
                  <w:tcBorders>
                    <w:top w:val="single" w:sz="4" w:space="0" w:color="auto"/>
                    <w:left w:val="single" w:sz="4" w:space="0" w:color="auto"/>
                    <w:bottom w:val="single" w:sz="4" w:space="0" w:color="auto"/>
                    <w:right w:val="single" w:sz="4" w:space="0" w:color="auto"/>
                  </w:tcBorders>
                  <w:vAlign w:val="bottom"/>
                </w:tcPr>
                <w:p w:rsidR="00C65DEF" w:rsidRPr="005A538D" w:rsidRDefault="00C65DEF" w:rsidP="00F80630">
                  <w:pPr>
                    <w:spacing w:line="260" w:lineRule="exact"/>
                    <w:ind w:left="80"/>
                    <w:rPr>
                      <w:sz w:val="20"/>
                      <w:szCs w:val="20"/>
                    </w:rPr>
                  </w:pPr>
                  <w:r w:rsidRPr="005A538D">
                    <w:rPr>
                      <w:color w:val="222222"/>
                      <w:szCs w:val="24"/>
                    </w:rPr>
                    <w:t>40</w:t>
                  </w:r>
                </w:p>
              </w:tc>
            </w:tr>
            <w:tr w:rsidR="00C65DEF" w:rsidRPr="005A538D" w:rsidTr="00C65DEF">
              <w:trPr>
                <w:trHeight w:val="45"/>
              </w:trPr>
              <w:tc>
                <w:tcPr>
                  <w:tcW w:w="320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65DEF" w:rsidRPr="005A538D" w:rsidRDefault="00C65DEF" w:rsidP="00F80630">
                  <w:pPr>
                    <w:rPr>
                      <w:rFonts w:eastAsiaTheme="minorHAnsi"/>
                      <w:szCs w:val="24"/>
                      <w:lang w:val="en-US"/>
                    </w:rPr>
                  </w:pPr>
                  <w:r w:rsidRPr="005A538D">
                    <w:rPr>
                      <w:rFonts w:eastAsiaTheme="minorHAnsi"/>
                      <w:szCs w:val="24"/>
                      <w:lang w:val="en-US"/>
                    </w:rPr>
                    <w:t>Total study hours</w:t>
                  </w:r>
                </w:p>
              </w:tc>
              <w:tc>
                <w:tcPr>
                  <w:tcW w:w="70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65DEF" w:rsidRPr="005A538D" w:rsidRDefault="00C65DEF" w:rsidP="00F80630">
                  <w:pPr>
                    <w:rPr>
                      <w:rFonts w:eastAsiaTheme="minorHAnsi"/>
                      <w:szCs w:val="24"/>
                    </w:rPr>
                  </w:pPr>
                  <w:r w:rsidRPr="005A538D">
                    <w:rPr>
                      <w:rFonts w:eastAsiaTheme="minorHAnsi"/>
                      <w:szCs w:val="24"/>
                    </w:rPr>
                    <w:t>144</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65DEF" w:rsidRPr="005A538D" w:rsidRDefault="00C65DEF" w:rsidP="00F80630">
                  <w:pPr>
                    <w:rPr>
                      <w:rFonts w:eastAsiaTheme="minorHAnsi"/>
                      <w:szCs w:val="24"/>
                    </w:rPr>
                  </w:pPr>
                  <w:r w:rsidRPr="005A538D">
                    <w:rPr>
                      <w:rFonts w:eastAsiaTheme="minorHAnsi"/>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65DEF" w:rsidRPr="005A538D" w:rsidRDefault="00C65DEF" w:rsidP="00F80630">
                  <w:pPr>
                    <w:rPr>
                      <w:rFonts w:eastAsiaTheme="minorHAnsi"/>
                      <w:szCs w:val="24"/>
                    </w:rPr>
                  </w:pPr>
                  <w:r w:rsidRPr="005A538D">
                    <w:rPr>
                      <w:rFonts w:eastAsiaTheme="minorHAnsi"/>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65DEF" w:rsidRPr="005A538D" w:rsidRDefault="00C65DEF" w:rsidP="00F80630">
                  <w:pPr>
                    <w:rPr>
                      <w:rFonts w:eastAsiaTheme="minorHAnsi"/>
                      <w:szCs w:val="24"/>
                    </w:rPr>
                  </w:pPr>
                  <w:r w:rsidRPr="005A538D">
                    <w:rPr>
                      <w:rFonts w:eastAsiaTheme="minorHAnsi"/>
                      <w:szCs w:val="24"/>
                    </w:rPr>
                    <w:t>90</w:t>
                  </w:r>
                </w:p>
              </w:tc>
            </w:tr>
          </w:tbl>
          <w:p w:rsidR="00613DCA" w:rsidRDefault="00613DCA">
            <w:pPr>
              <w:spacing w:after="0" w:line="240" w:lineRule="auto"/>
              <w:rPr>
                <w:rFonts w:ascii="Times New Roman" w:eastAsiaTheme="minorHAnsi" w:hAnsi="Times New Roman"/>
                <w:sz w:val="24"/>
                <w:szCs w:val="24"/>
                <w:lang w:val="en-US"/>
              </w:rPr>
            </w:pPr>
          </w:p>
        </w:tc>
      </w:tr>
      <w:tr w:rsidR="00C42A27" w:rsidRPr="008308B5"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C65DEF">
            <w:pPr>
              <w:spacing w:after="0" w:line="240" w:lineRule="auto"/>
              <w:rPr>
                <w:rFonts w:ascii="Times New Roman" w:eastAsiaTheme="minorHAnsi" w:hAnsi="Times New Roman"/>
                <w:sz w:val="24"/>
                <w:szCs w:val="24"/>
                <w:lang w:val="en-US"/>
              </w:rPr>
            </w:pPr>
            <w:r w:rsidRPr="00C65DEF">
              <w:rPr>
                <w:rFonts w:ascii="Times New Roman" w:eastAsiaTheme="minorHAnsi" w:hAnsi="Times New Roman"/>
                <w:sz w:val="24"/>
                <w:szCs w:val="24"/>
                <w:lang w:val="en-US"/>
              </w:rPr>
              <w:t xml:space="preserve">The course is based on traditional methods of teaching and combines </w:t>
            </w:r>
            <w:proofErr w:type="spellStart"/>
            <w:r w:rsidRPr="00C65DEF">
              <w:rPr>
                <w:rFonts w:ascii="Times New Roman" w:eastAsiaTheme="minorHAnsi" w:hAnsi="Times New Roman"/>
                <w:sz w:val="24"/>
                <w:szCs w:val="24"/>
                <w:lang w:val="en-US"/>
              </w:rPr>
              <w:t>tra-ditional</w:t>
            </w:r>
            <w:proofErr w:type="spellEnd"/>
            <w:r w:rsidRPr="00C65DEF">
              <w:rPr>
                <w:rFonts w:ascii="Times New Roman" w:eastAsiaTheme="minorHAnsi" w:hAnsi="Times New Roman"/>
                <w:sz w:val="24"/>
                <w:szCs w:val="24"/>
                <w:lang w:val="en-US"/>
              </w:rPr>
              <w:t xml:space="preserve"> lectures and seminars. Seminar activities require reading of </w:t>
            </w:r>
            <w:proofErr w:type="spellStart"/>
            <w:r w:rsidRPr="00C65DEF">
              <w:rPr>
                <w:rFonts w:ascii="Times New Roman" w:eastAsiaTheme="minorHAnsi" w:hAnsi="Times New Roman"/>
                <w:sz w:val="24"/>
                <w:szCs w:val="24"/>
                <w:lang w:val="en-US"/>
              </w:rPr>
              <w:t>sug-gested</w:t>
            </w:r>
            <w:proofErr w:type="spellEnd"/>
            <w:r w:rsidRPr="00C65DEF">
              <w:rPr>
                <w:rFonts w:ascii="Times New Roman" w:eastAsiaTheme="minorHAnsi" w:hAnsi="Times New Roman"/>
                <w:sz w:val="24"/>
                <w:szCs w:val="24"/>
                <w:lang w:val="en-US"/>
              </w:rPr>
              <w:t xml:space="preserve"> texts and active participation in class discussions</w:t>
            </w:r>
          </w:p>
        </w:tc>
      </w:tr>
      <w:tr w:rsidR="00C42A27" w:rsidRPr="008308B5"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65DEF" w:rsidRPr="00C65DEF" w:rsidRDefault="00C65DEF" w:rsidP="00C65DEF">
            <w:pPr>
              <w:spacing w:after="0" w:line="240" w:lineRule="auto"/>
              <w:rPr>
                <w:rFonts w:ascii="Times New Roman" w:eastAsiaTheme="minorHAnsi" w:hAnsi="Times New Roman"/>
                <w:sz w:val="24"/>
                <w:szCs w:val="24"/>
                <w:lang w:val="en-US"/>
              </w:rPr>
            </w:pPr>
            <w:r w:rsidRPr="00C65DEF">
              <w:rPr>
                <w:rFonts w:ascii="Times New Roman" w:eastAsiaTheme="minorHAnsi" w:hAnsi="Times New Roman"/>
                <w:sz w:val="24"/>
                <w:szCs w:val="24"/>
                <w:lang w:val="en-US"/>
              </w:rPr>
              <w:t>●</w:t>
            </w:r>
            <w:r w:rsidRPr="00C65DEF">
              <w:rPr>
                <w:rFonts w:ascii="Times New Roman" w:eastAsiaTheme="minorHAnsi" w:hAnsi="Times New Roman"/>
                <w:sz w:val="24"/>
                <w:szCs w:val="24"/>
                <w:lang w:val="en-US"/>
              </w:rPr>
              <w:tab/>
              <w:t>Assessment</w:t>
            </w:r>
          </w:p>
          <w:p w:rsidR="00C65DEF" w:rsidRPr="00C65DEF" w:rsidRDefault="00C65DEF" w:rsidP="00C65DEF">
            <w:pPr>
              <w:spacing w:after="0" w:line="240" w:lineRule="auto"/>
              <w:rPr>
                <w:rFonts w:ascii="Times New Roman" w:eastAsiaTheme="minorHAnsi" w:hAnsi="Times New Roman"/>
                <w:sz w:val="24"/>
                <w:szCs w:val="24"/>
                <w:lang w:val="en-US"/>
              </w:rPr>
            </w:pPr>
          </w:p>
          <w:p w:rsidR="00C65DEF" w:rsidRPr="00C65DEF" w:rsidRDefault="00C65DEF" w:rsidP="00C65DEF">
            <w:pPr>
              <w:spacing w:after="0" w:line="240" w:lineRule="auto"/>
              <w:rPr>
                <w:rFonts w:ascii="Times New Roman" w:eastAsiaTheme="minorHAnsi" w:hAnsi="Times New Roman"/>
                <w:sz w:val="24"/>
                <w:szCs w:val="24"/>
                <w:lang w:val="en-US"/>
              </w:rPr>
            </w:pPr>
            <w:r w:rsidRPr="00C65DEF">
              <w:rPr>
                <w:rFonts w:ascii="Times New Roman" w:eastAsiaTheme="minorHAnsi" w:hAnsi="Times New Roman"/>
                <w:sz w:val="24"/>
                <w:szCs w:val="24"/>
                <w:lang w:val="en-US"/>
              </w:rPr>
              <w:t xml:space="preserve">The grade will be composed of attendance, class participation, tests and </w:t>
            </w:r>
            <w:r w:rsidRPr="00C65DEF">
              <w:rPr>
                <w:rFonts w:ascii="Times New Roman" w:eastAsiaTheme="minorHAnsi" w:hAnsi="Times New Roman"/>
                <w:sz w:val="24"/>
                <w:szCs w:val="24"/>
                <w:lang w:val="en-US"/>
              </w:rPr>
              <w:lastRenderedPageBreak/>
              <w:t>practical tasks in class, response papers, two home assignments and writ-ten exam.</w:t>
            </w:r>
          </w:p>
          <w:p w:rsidR="00C65DEF" w:rsidRPr="00C65DEF" w:rsidRDefault="00C65DEF" w:rsidP="00C65DEF">
            <w:pPr>
              <w:spacing w:after="0" w:line="240" w:lineRule="auto"/>
              <w:rPr>
                <w:rFonts w:ascii="Times New Roman" w:eastAsiaTheme="minorHAnsi" w:hAnsi="Times New Roman"/>
                <w:sz w:val="24"/>
                <w:szCs w:val="24"/>
                <w:lang w:val="en-US"/>
              </w:rPr>
            </w:pPr>
          </w:p>
          <w:p w:rsidR="00C65DEF" w:rsidRPr="00C65DEF" w:rsidRDefault="00C65DEF" w:rsidP="00C65DEF">
            <w:pPr>
              <w:spacing w:after="0" w:line="240" w:lineRule="auto"/>
              <w:rPr>
                <w:rFonts w:ascii="Times New Roman" w:eastAsiaTheme="minorHAnsi" w:hAnsi="Times New Roman"/>
                <w:sz w:val="24"/>
                <w:szCs w:val="24"/>
                <w:lang w:val="en-US"/>
              </w:rPr>
            </w:pPr>
          </w:p>
          <w:p w:rsidR="00C65DEF" w:rsidRPr="00C65DEF" w:rsidRDefault="00C65DEF" w:rsidP="00C65DEF">
            <w:pPr>
              <w:spacing w:after="0" w:line="240" w:lineRule="auto"/>
              <w:rPr>
                <w:rFonts w:ascii="Times New Roman" w:eastAsiaTheme="minorHAnsi" w:hAnsi="Times New Roman"/>
                <w:sz w:val="24"/>
                <w:szCs w:val="24"/>
                <w:lang w:val="en-US"/>
              </w:rPr>
            </w:pPr>
            <w:r w:rsidRPr="00C65DEF">
              <w:rPr>
                <w:rFonts w:ascii="Times New Roman" w:eastAsiaTheme="minorHAnsi" w:hAnsi="Times New Roman"/>
                <w:sz w:val="24"/>
                <w:szCs w:val="24"/>
                <w:lang w:val="en-US"/>
              </w:rPr>
              <w:t>●</w:t>
            </w:r>
            <w:r w:rsidRPr="00C65DEF">
              <w:rPr>
                <w:rFonts w:ascii="Times New Roman" w:eastAsiaTheme="minorHAnsi" w:hAnsi="Times New Roman"/>
                <w:sz w:val="24"/>
                <w:szCs w:val="24"/>
                <w:lang w:val="en-US"/>
              </w:rPr>
              <w:tab/>
              <w:t>Guidelines for Knowledge Assessment</w:t>
            </w:r>
          </w:p>
          <w:p w:rsidR="00C65DEF" w:rsidRPr="00C65DEF" w:rsidRDefault="00C65DEF" w:rsidP="00C65DEF">
            <w:pPr>
              <w:spacing w:after="0" w:line="240" w:lineRule="auto"/>
              <w:rPr>
                <w:rFonts w:ascii="Times New Roman" w:eastAsiaTheme="minorHAnsi" w:hAnsi="Times New Roman"/>
                <w:sz w:val="24"/>
                <w:szCs w:val="24"/>
                <w:lang w:val="en-US"/>
              </w:rPr>
            </w:pPr>
          </w:p>
          <w:p w:rsidR="00C65DEF" w:rsidRPr="00C65DEF" w:rsidRDefault="00C65DEF" w:rsidP="00C65DEF">
            <w:pPr>
              <w:spacing w:after="0" w:line="240" w:lineRule="auto"/>
              <w:rPr>
                <w:rFonts w:ascii="Times New Roman" w:eastAsiaTheme="minorHAnsi" w:hAnsi="Times New Roman"/>
                <w:sz w:val="24"/>
                <w:szCs w:val="24"/>
                <w:lang w:val="en-US"/>
              </w:rPr>
            </w:pPr>
            <w:r w:rsidRPr="00C65DEF">
              <w:rPr>
                <w:rFonts w:ascii="Times New Roman" w:eastAsiaTheme="minorHAnsi" w:hAnsi="Times New Roman"/>
                <w:sz w:val="24"/>
                <w:szCs w:val="24"/>
                <w:lang w:val="en-US"/>
              </w:rPr>
              <w:t>Students are expected to attend both lectures and seminars, to regularly do their homework reading and study according to the lists of sources provided by the lecturer. The resources for this class are the primary sources, research literature, lectures, etc. On seminars, students are ex-</w:t>
            </w:r>
            <w:proofErr w:type="spellStart"/>
            <w:r w:rsidRPr="00C65DEF">
              <w:rPr>
                <w:rFonts w:ascii="Times New Roman" w:eastAsiaTheme="minorHAnsi" w:hAnsi="Times New Roman"/>
                <w:sz w:val="24"/>
                <w:szCs w:val="24"/>
                <w:lang w:val="en-US"/>
              </w:rPr>
              <w:t>pected</w:t>
            </w:r>
            <w:proofErr w:type="spellEnd"/>
            <w:r w:rsidRPr="00C65DEF">
              <w:rPr>
                <w:rFonts w:ascii="Times New Roman" w:eastAsiaTheme="minorHAnsi" w:hAnsi="Times New Roman"/>
                <w:sz w:val="24"/>
                <w:szCs w:val="24"/>
                <w:lang w:val="en-US"/>
              </w:rPr>
              <w:t xml:space="preserve"> to take active part in the discussion and demonstrate knowledge of the content of lectures and readings. Seminar discussions are based on the previously given readings, and fragments of sources introduced by the teacher and analyzed collectively by the class. Attendance and levels of participation in class discussions during the seminars influence the final grade. If the student misses more than 20% of class meetings, additional assignment can be provided.  In the end of the course students submit a review essay. </w:t>
            </w:r>
          </w:p>
          <w:p w:rsidR="00C65DEF" w:rsidRPr="00C65DEF" w:rsidRDefault="00C65DEF" w:rsidP="00C65DEF">
            <w:pPr>
              <w:spacing w:after="0" w:line="240" w:lineRule="auto"/>
              <w:rPr>
                <w:rFonts w:ascii="Times New Roman" w:eastAsiaTheme="minorHAnsi" w:hAnsi="Times New Roman"/>
                <w:sz w:val="24"/>
                <w:szCs w:val="24"/>
                <w:lang w:val="en-US"/>
              </w:rPr>
            </w:pPr>
            <w:r w:rsidRPr="00C65DEF">
              <w:rPr>
                <w:rFonts w:ascii="Times New Roman" w:eastAsiaTheme="minorHAnsi" w:hAnsi="Times New Roman"/>
                <w:sz w:val="24"/>
                <w:szCs w:val="24"/>
                <w:lang w:val="en-US"/>
              </w:rPr>
              <w:t>The final grade is drawn on the 10-grades scale. The final grade’s compo-</w:t>
            </w:r>
            <w:proofErr w:type="spellStart"/>
            <w:r w:rsidRPr="00C65DEF">
              <w:rPr>
                <w:rFonts w:ascii="Times New Roman" w:eastAsiaTheme="minorHAnsi" w:hAnsi="Times New Roman"/>
                <w:sz w:val="24"/>
                <w:szCs w:val="24"/>
                <w:lang w:val="en-US"/>
              </w:rPr>
              <w:t>sition</w:t>
            </w:r>
            <w:proofErr w:type="spellEnd"/>
            <w:r w:rsidRPr="00C65DEF">
              <w:rPr>
                <w:rFonts w:ascii="Times New Roman" w:eastAsiaTheme="minorHAnsi" w:hAnsi="Times New Roman"/>
                <w:sz w:val="24"/>
                <w:szCs w:val="24"/>
                <w:lang w:val="en-US"/>
              </w:rPr>
              <w:t xml:space="preserve"> will be the following: attendance (10%), class participation (20%), practical tasks in class (20%), presentations and analysis of papers (10%), two home assignments (20%) and written exam (20%). </w:t>
            </w:r>
          </w:p>
          <w:p w:rsidR="00C65DEF" w:rsidRPr="00C65DEF" w:rsidRDefault="00C65DEF" w:rsidP="00C65DEF">
            <w:pPr>
              <w:spacing w:after="0" w:line="240" w:lineRule="auto"/>
              <w:rPr>
                <w:rFonts w:ascii="Times New Roman" w:eastAsiaTheme="minorHAnsi" w:hAnsi="Times New Roman"/>
                <w:sz w:val="24"/>
                <w:szCs w:val="24"/>
                <w:lang w:val="en-US"/>
              </w:rPr>
            </w:pPr>
            <w:r w:rsidRPr="00C65DEF">
              <w:rPr>
                <w:rFonts w:ascii="Times New Roman" w:eastAsiaTheme="minorHAnsi" w:hAnsi="Times New Roman"/>
                <w:sz w:val="24"/>
                <w:szCs w:val="24"/>
                <w:lang w:val="en-US"/>
              </w:rPr>
              <w:t>O stands for “grade”. The formula for the final grade (</w:t>
            </w:r>
            <w:proofErr w:type="spellStart"/>
            <w:r w:rsidRPr="00C65DEF">
              <w:rPr>
                <w:rFonts w:ascii="Times New Roman" w:eastAsiaTheme="minorHAnsi" w:hAnsi="Times New Roman"/>
                <w:sz w:val="24"/>
                <w:szCs w:val="24"/>
                <w:lang w:val="en-US"/>
              </w:rPr>
              <w:t>Ofinal</w:t>
            </w:r>
            <w:proofErr w:type="spellEnd"/>
            <w:r w:rsidRPr="00C65DEF">
              <w:rPr>
                <w:rFonts w:ascii="Times New Roman" w:eastAsiaTheme="minorHAnsi" w:hAnsi="Times New Roman"/>
                <w:sz w:val="24"/>
                <w:szCs w:val="24"/>
                <w:lang w:val="en-US"/>
              </w:rPr>
              <w:t xml:space="preserve">) is the </w:t>
            </w:r>
            <w:proofErr w:type="spellStart"/>
            <w:r w:rsidRPr="00C65DEF">
              <w:rPr>
                <w:rFonts w:ascii="Times New Roman" w:eastAsiaTheme="minorHAnsi" w:hAnsi="Times New Roman"/>
                <w:sz w:val="24"/>
                <w:szCs w:val="24"/>
                <w:lang w:val="en-US"/>
              </w:rPr>
              <w:t>fol</w:t>
            </w:r>
            <w:proofErr w:type="spellEnd"/>
            <w:r w:rsidRPr="00C65DEF">
              <w:rPr>
                <w:rFonts w:ascii="Times New Roman" w:eastAsiaTheme="minorHAnsi" w:hAnsi="Times New Roman"/>
                <w:sz w:val="24"/>
                <w:szCs w:val="24"/>
                <w:lang w:val="en-US"/>
              </w:rPr>
              <w:t>-lowing:</w:t>
            </w:r>
          </w:p>
          <w:p w:rsidR="00C65DEF" w:rsidRPr="00C65DEF" w:rsidRDefault="00C65DEF" w:rsidP="00C65DEF">
            <w:pPr>
              <w:spacing w:after="0" w:line="240" w:lineRule="auto"/>
              <w:rPr>
                <w:rFonts w:ascii="Times New Roman" w:eastAsiaTheme="minorHAnsi" w:hAnsi="Times New Roman"/>
                <w:sz w:val="24"/>
                <w:szCs w:val="24"/>
                <w:lang w:val="en-US"/>
              </w:rPr>
            </w:pPr>
          </w:p>
          <w:p w:rsidR="00C42A27" w:rsidRDefault="00C65DEF" w:rsidP="00C65DEF">
            <w:pPr>
              <w:spacing w:after="0" w:line="240" w:lineRule="auto"/>
              <w:rPr>
                <w:rFonts w:ascii="Times New Roman" w:eastAsiaTheme="minorHAnsi" w:hAnsi="Times New Roman"/>
                <w:sz w:val="24"/>
                <w:szCs w:val="24"/>
                <w:lang w:val="en-US"/>
              </w:rPr>
            </w:pPr>
            <w:proofErr w:type="spellStart"/>
            <w:r w:rsidRPr="00C65DEF">
              <w:rPr>
                <w:rFonts w:ascii="Times New Roman" w:eastAsiaTheme="minorHAnsi" w:hAnsi="Times New Roman"/>
                <w:sz w:val="24"/>
                <w:szCs w:val="24"/>
                <w:lang w:val="en-US"/>
              </w:rPr>
              <w:t>Ofinal</w:t>
            </w:r>
            <w:proofErr w:type="spellEnd"/>
            <w:r w:rsidRPr="00C65DEF">
              <w:rPr>
                <w:rFonts w:ascii="Times New Roman" w:eastAsiaTheme="minorHAnsi" w:hAnsi="Times New Roman"/>
                <w:sz w:val="24"/>
                <w:szCs w:val="24"/>
                <w:lang w:val="en-US"/>
              </w:rPr>
              <w:t xml:space="preserve"> = 0,1 </w:t>
            </w:r>
            <w:proofErr w:type="spellStart"/>
            <w:r w:rsidRPr="00C65DEF">
              <w:rPr>
                <w:rFonts w:ascii="Times New Roman" w:eastAsiaTheme="minorHAnsi" w:hAnsi="Times New Roman"/>
                <w:sz w:val="24"/>
                <w:szCs w:val="24"/>
                <w:lang w:val="en-US"/>
              </w:rPr>
              <w:t>Oattendance</w:t>
            </w:r>
            <w:proofErr w:type="spellEnd"/>
            <w:r w:rsidRPr="00C65DEF">
              <w:rPr>
                <w:rFonts w:ascii="Times New Roman" w:eastAsiaTheme="minorHAnsi" w:hAnsi="Times New Roman"/>
                <w:sz w:val="24"/>
                <w:szCs w:val="24"/>
                <w:lang w:val="en-US"/>
              </w:rPr>
              <w:t xml:space="preserve"> + 0,2 </w:t>
            </w:r>
            <w:proofErr w:type="spellStart"/>
            <w:r w:rsidRPr="00C65DEF">
              <w:rPr>
                <w:rFonts w:ascii="Times New Roman" w:eastAsiaTheme="minorHAnsi" w:hAnsi="Times New Roman"/>
                <w:sz w:val="24"/>
                <w:szCs w:val="24"/>
                <w:lang w:val="en-US"/>
              </w:rPr>
              <w:t>Oclass</w:t>
            </w:r>
            <w:proofErr w:type="spellEnd"/>
            <w:r w:rsidRPr="00C65DEF">
              <w:rPr>
                <w:rFonts w:ascii="Times New Roman" w:eastAsiaTheme="minorHAnsi" w:hAnsi="Times New Roman"/>
                <w:sz w:val="24"/>
                <w:szCs w:val="24"/>
                <w:lang w:val="en-US"/>
              </w:rPr>
              <w:t xml:space="preserve"> participation + 0,2 O practical tasks + 0,1 O </w:t>
            </w:r>
            <w:proofErr w:type="spellStart"/>
            <w:r w:rsidRPr="00C65DEF">
              <w:rPr>
                <w:rFonts w:ascii="Times New Roman" w:eastAsiaTheme="minorHAnsi" w:hAnsi="Times New Roman"/>
                <w:sz w:val="24"/>
                <w:szCs w:val="24"/>
                <w:lang w:val="en-US"/>
              </w:rPr>
              <w:t>presentatins</w:t>
            </w:r>
            <w:proofErr w:type="spellEnd"/>
            <w:r w:rsidRPr="00C65DEF">
              <w:rPr>
                <w:rFonts w:ascii="Times New Roman" w:eastAsiaTheme="minorHAnsi" w:hAnsi="Times New Roman"/>
                <w:sz w:val="24"/>
                <w:szCs w:val="24"/>
                <w:lang w:val="en-US"/>
              </w:rPr>
              <w:t xml:space="preserve">+ 0,2 home assignments+ 0,2 </w:t>
            </w:r>
            <w:proofErr w:type="spellStart"/>
            <w:r w:rsidRPr="00C65DEF">
              <w:rPr>
                <w:rFonts w:ascii="Times New Roman" w:eastAsiaTheme="minorHAnsi" w:hAnsi="Times New Roman"/>
                <w:sz w:val="24"/>
                <w:szCs w:val="24"/>
                <w:lang w:val="en-US"/>
              </w:rPr>
              <w:t>Owritten</w:t>
            </w:r>
            <w:proofErr w:type="spellEnd"/>
            <w:r w:rsidRPr="00C65DEF">
              <w:rPr>
                <w:rFonts w:ascii="Times New Roman" w:eastAsiaTheme="minorHAnsi" w:hAnsi="Times New Roman"/>
                <w:sz w:val="24"/>
                <w:szCs w:val="24"/>
                <w:lang w:val="en-US"/>
              </w:rPr>
              <w:t xml:space="preserve"> exam.</w:t>
            </w:r>
          </w:p>
        </w:tc>
      </w:tr>
      <w:tr w:rsidR="00C42A27" w:rsidRPr="008308B5"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360E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 xml:space="preserve">Readings / </w:t>
            </w:r>
            <w:r w:rsidR="00C42A27">
              <w:rPr>
                <w:rFonts w:ascii="Times New Roman" w:eastAsiaTheme="minorHAnsi" w:hAnsi="Times New Roman"/>
                <w:sz w:val="24"/>
                <w:szCs w:val="24"/>
                <w:lang w:val="en-US"/>
              </w:rPr>
              <w:t>Indicative Learning Resources</w:t>
            </w:r>
            <w:r w:rsidR="00F31F02">
              <w:rPr>
                <w:rStyle w:val="a6"/>
                <w:rFonts w:ascii="Times New Roman" w:eastAsiaTheme="minorHAnsi" w:hAnsi="Times New Roman"/>
                <w:sz w:val="24"/>
                <w:szCs w:val="24"/>
                <w:lang w:val="en-US"/>
              </w:rPr>
              <w:footnoteReference w:id="3"/>
            </w:r>
          </w:p>
          <w:p w:rsidR="00C42A27" w:rsidRDefault="00C42A27">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C65DEF" w:rsidRDefault="00C42A27">
            <w:pPr>
              <w:spacing w:after="0" w:line="240" w:lineRule="auto"/>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 xml:space="preserve">Mandatory </w:t>
            </w:r>
          </w:p>
          <w:p w:rsidR="00C65DEF" w:rsidRPr="00C65DEF" w:rsidRDefault="00C65DEF" w:rsidP="00C65DEF">
            <w:pPr>
              <w:spacing w:after="0" w:line="240" w:lineRule="auto"/>
              <w:rPr>
                <w:rFonts w:ascii="Times New Roman" w:eastAsiaTheme="minorHAnsi" w:hAnsi="Times New Roman"/>
                <w:sz w:val="24"/>
                <w:szCs w:val="24"/>
                <w:lang w:val="en-US"/>
              </w:rPr>
            </w:pPr>
            <w:r w:rsidRPr="00C65DEF">
              <w:rPr>
                <w:rFonts w:ascii="Times New Roman" w:eastAsiaTheme="minorHAnsi" w:hAnsi="Times New Roman"/>
                <w:sz w:val="24"/>
                <w:szCs w:val="24"/>
                <w:lang w:val="en-US"/>
              </w:rPr>
              <w:t>1.</w:t>
            </w:r>
            <w:r w:rsidRPr="00C65DEF">
              <w:rPr>
                <w:rFonts w:ascii="Times New Roman" w:eastAsiaTheme="minorHAnsi" w:hAnsi="Times New Roman"/>
                <w:sz w:val="24"/>
                <w:szCs w:val="24"/>
                <w:lang w:val="en-US"/>
              </w:rPr>
              <w:tab/>
              <w:t xml:space="preserve">Edible Identities: Food as Cultural Heritage, edited by Ronda L. </w:t>
            </w:r>
            <w:proofErr w:type="spellStart"/>
            <w:r w:rsidRPr="00C65DEF">
              <w:rPr>
                <w:rFonts w:ascii="Times New Roman" w:eastAsiaTheme="minorHAnsi" w:hAnsi="Times New Roman"/>
                <w:sz w:val="24"/>
                <w:szCs w:val="24"/>
                <w:lang w:val="en-US"/>
              </w:rPr>
              <w:t>Brulotte</w:t>
            </w:r>
            <w:proofErr w:type="spellEnd"/>
            <w:r w:rsidRPr="00C65DEF">
              <w:rPr>
                <w:rFonts w:ascii="Times New Roman" w:eastAsiaTheme="minorHAnsi" w:hAnsi="Times New Roman"/>
                <w:sz w:val="24"/>
                <w:szCs w:val="24"/>
                <w:lang w:val="en-US"/>
              </w:rPr>
              <w:t xml:space="preserve">, and Michael A. Di </w:t>
            </w:r>
            <w:proofErr w:type="spellStart"/>
            <w:r w:rsidRPr="00C65DEF">
              <w:rPr>
                <w:rFonts w:ascii="Times New Roman" w:eastAsiaTheme="minorHAnsi" w:hAnsi="Times New Roman"/>
                <w:sz w:val="24"/>
                <w:szCs w:val="24"/>
                <w:lang w:val="en-US"/>
              </w:rPr>
              <w:t>Giovine</w:t>
            </w:r>
            <w:proofErr w:type="spellEnd"/>
            <w:r w:rsidRPr="00C65DEF">
              <w:rPr>
                <w:rFonts w:ascii="Times New Roman" w:eastAsiaTheme="minorHAnsi" w:hAnsi="Times New Roman"/>
                <w:sz w:val="24"/>
                <w:szCs w:val="24"/>
                <w:lang w:val="en-US"/>
              </w:rPr>
              <w:t xml:space="preserve">, Taylor &amp; Francis Group, 2014. ProQuest </w:t>
            </w:r>
            <w:proofErr w:type="spellStart"/>
            <w:r w:rsidRPr="00C65DEF">
              <w:rPr>
                <w:rFonts w:ascii="Times New Roman" w:eastAsiaTheme="minorHAnsi" w:hAnsi="Times New Roman"/>
                <w:sz w:val="24"/>
                <w:szCs w:val="24"/>
                <w:lang w:val="en-US"/>
              </w:rPr>
              <w:t>Ebook</w:t>
            </w:r>
            <w:proofErr w:type="spellEnd"/>
            <w:r w:rsidRPr="00C65DEF">
              <w:rPr>
                <w:rFonts w:ascii="Times New Roman" w:eastAsiaTheme="minorHAnsi" w:hAnsi="Times New Roman"/>
                <w:sz w:val="24"/>
                <w:szCs w:val="24"/>
                <w:lang w:val="en-US"/>
              </w:rPr>
              <w:t xml:space="preserve"> Central, </w:t>
            </w:r>
            <w:r w:rsidR="00E47618" w:rsidRPr="00E47618">
              <w:rPr>
                <w:rFonts w:ascii="Times New Roman" w:eastAsiaTheme="minorHAnsi" w:hAnsi="Times New Roman"/>
                <w:sz w:val="24"/>
                <w:szCs w:val="24"/>
                <w:lang w:val="en-US"/>
              </w:rPr>
              <w:t>https://ebookcentral.proquest.com/lib/hselibrary-ebooks/reader.action?docID=1746960&amp;query=1.%09Edible+Identities</w:t>
            </w:r>
            <w:r w:rsidRPr="00C65DEF">
              <w:rPr>
                <w:rFonts w:ascii="Times New Roman" w:eastAsiaTheme="minorHAnsi" w:hAnsi="Times New Roman"/>
                <w:sz w:val="24"/>
                <w:szCs w:val="24"/>
                <w:lang w:val="en-US"/>
              </w:rPr>
              <w:t>.</w:t>
            </w:r>
          </w:p>
          <w:p w:rsidR="00C42A27" w:rsidRDefault="00C65DEF" w:rsidP="00C65DEF">
            <w:pPr>
              <w:spacing w:after="0" w:line="240" w:lineRule="auto"/>
              <w:rPr>
                <w:rFonts w:ascii="Times New Roman" w:eastAsiaTheme="minorHAnsi" w:hAnsi="Times New Roman"/>
                <w:sz w:val="24"/>
                <w:szCs w:val="24"/>
                <w:lang w:val="en-US"/>
              </w:rPr>
            </w:pPr>
            <w:r w:rsidRPr="00C65DEF">
              <w:rPr>
                <w:rFonts w:ascii="Times New Roman" w:eastAsiaTheme="minorHAnsi" w:hAnsi="Times New Roman"/>
                <w:sz w:val="24"/>
                <w:szCs w:val="24"/>
                <w:lang w:val="en-US"/>
              </w:rPr>
              <w:t>2.</w:t>
            </w:r>
            <w:r w:rsidRPr="00C65DEF">
              <w:rPr>
                <w:rFonts w:ascii="Times New Roman" w:eastAsiaTheme="minorHAnsi" w:hAnsi="Times New Roman"/>
                <w:sz w:val="24"/>
                <w:szCs w:val="24"/>
                <w:lang w:val="en-US"/>
              </w:rPr>
              <w:tab/>
              <w:t xml:space="preserve">A Companion to Heritage Studies. William Logan, </w:t>
            </w:r>
            <w:proofErr w:type="spellStart"/>
            <w:r w:rsidRPr="00C65DEF">
              <w:rPr>
                <w:rFonts w:ascii="Times New Roman" w:eastAsiaTheme="minorHAnsi" w:hAnsi="Times New Roman"/>
                <w:sz w:val="24"/>
                <w:szCs w:val="24"/>
                <w:lang w:val="en-US"/>
              </w:rPr>
              <w:t>Máiread</w:t>
            </w:r>
            <w:proofErr w:type="spellEnd"/>
            <w:r w:rsidRPr="00C65DEF">
              <w:rPr>
                <w:rFonts w:ascii="Times New Roman" w:eastAsiaTheme="minorHAnsi" w:hAnsi="Times New Roman"/>
                <w:sz w:val="24"/>
                <w:szCs w:val="24"/>
                <w:lang w:val="en-US"/>
              </w:rPr>
              <w:t xml:space="preserve"> Nic </w:t>
            </w:r>
            <w:proofErr w:type="spellStart"/>
            <w:r w:rsidRPr="00C65DEF">
              <w:rPr>
                <w:rFonts w:ascii="Times New Roman" w:eastAsiaTheme="minorHAnsi" w:hAnsi="Times New Roman"/>
                <w:sz w:val="24"/>
                <w:szCs w:val="24"/>
                <w:lang w:val="en-US"/>
              </w:rPr>
              <w:t>Craith</w:t>
            </w:r>
            <w:proofErr w:type="spellEnd"/>
            <w:r w:rsidRPr="00C65DEF">
              <w:rPr>
                <w:rFonts w:ascii="Times New Roman" w:eastAsiaTheme="minorHAnsi" w:hAnsi="Times New Roman"/>
                <w:sz w:val="24"/>
                <w:szCs w:val="24"/>
                <w:lang w:val="en-US"/>
              </w:rPr>
              <w:t xml:space="preserve">, and Ullrich. </w:t>
            </w:r>
            <w:proofErr w:type="spellStart"/>
            <w:r w:rsidRPr="00C65DEF">
              <w:rPr>
                <w:rFonts w:ascii="Times New Roman" w:eastAsiaTheme="minorHAnsi" w:hAnsi="Times New Roman"/>
                <w:sz w:val="24"/>
                <w:szCs w:val="24"/>
                <w:lang w:val="en-US"/>
              </w:rPr>
              <w:t>Kockel</w:t>
            </w:r>
            <w:proofErr w:type="spellEnd"/>
            <w:r w:rsidRPr="00C65DEF">
              <w:rPr>
                <w:rFonts w:ascii="Times New Roman" w:eastAsiaTheme="minorHAnsi" w:hAnsi="Times New Roman"/>
                <w:sz w:val="24"/>
                <w:szCs w:val="24"/>
                <w:lang w:val="en-US"/>
              </w:rPr>
              <w:t>, eds. Malden, MA: Wiley-Blackwell, 2016. https://onlinelibrary.wiley.com/doi/book/10.1002/9781118486634</w:t>
            </w:r>
          </w:p>
          <w:p w:rsidR="00C42A27" w:rsidRDefault="00C42A27">
            <w:pPr>
              <w:spacing w:after="0" w:line="240" w:lineRule="auto"/>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 xml:space="preserve">Optional </w:t>
            </w:r>
          </w:p>
          <w:p w:rsidR="00E47618" w:rsidRPr="00E47618" w:rsidRDefault="00E47618" w:rsidP="00E47618">
            <w:pPr>
              <w:spacing w:after="0" w:line="240" w:lineRule="auto"/>
              <w:rPr>
                <w:rFonts w:ascii="Times New Roman" w:eastAsiaTheme="minorHAnsi" w:hAnsi="Times New Roman"/>
                <w:sz w:val="24"/>
                <w:szCs w:val="24"/>
                <w:lang w:val="en-US"/>
              </w:rPr>
            </w:pPr>
            <w:r w:rsidRPr="00E47618">
              <w:rPr>
                <w:rFonts w:ascii="Times New Roman" w:eastAsiaTheme="minorHAnsi" w:hAnsi="Times New Roman"/>
                <w:sz w:val="24"/>
                <w:szCs w:val="24"/>
                <w:lang w:val="en-US"/>
              </w:rPr>
              <w:t>1.</w:t>
            </w:r>
            <w:r w:rsidRPr="00E47618">
              <w:rPr>
                <w:rFonts w:ascii="Times New Roman" w:eastAsiaTheme="minorHAnsi" w:hAnsi="Times New Roman"/>
                <w:sz w:val="24"/>
                <w:szCs w:val="24"/>
                <w:lang w:val="en-US"/>
              </w:rPr>
              <w:tab/>
              <w:t xml:space="preserve">Lynn </w:t>
            </w:r>
            <w:proofErr w:type="spellStart"/>
            <w:r w:rsidRPr="00E47618">
              <w:rPr>
                <w:rFonts w:ascii="Times New Roman" w:eastAsiaTheme="minorHAnsi" w:hAnsi="Times New Roman"/>
                <w:sz w:val="24"/>
                <w:szCs w:val="24"/>
                <w:lang w:val="en-US"/>
              </w:rPr>
              <w:t>Meskell</w:t>
            </w:r>
            <w:proofErr w:type="spellEnd"/>
            <w:r w:rsidRPr="00E47618">
              <w:rPr>
                <w:rFonts w:ascii="Times New Roman" w:eastAsiaTheme="minorHAnsi" w:hAnsi="Times New Roman"/>
                <w:sz w:val="24"/>
                <w:szCs w:val="24"/>
                <w:lang w:val="en-US"/>
              </w:rPr>
              <w:t xml:space="preserve">, States of Conservation: Protection, Politics, and </w:t>
            </w:r>
            <w:proofErr w:type="spellStart"/>
            <w:r w:rsidRPr="00E47618">
              <w:rPr>
                <w:rFonts w:ascii="Times New Roman" w:eastAsiaTheme="minorHAnsi" w:hAnsi="Times New Roman"/>
                <w:sz w:val="24"/>
                <w:szCs w:val="24"/>
                <w:lang w:val="en-US"/>
              </w:rPr>
              <w:t>Pacting</w:t>
            </w:r>
            <w:proofErr w:type="spellEnd"/>
            <w:r w:rsidRPr="00E47618">
              <w:rPr>
                <w:rFonts w:ascii="Times New Roman" w:eastAsiaTheme="minorHAnsi" w:hAnsi="Times New Roman"/>
                <w:sz w:val="24"/>
                <w:szCs w:val="24"/>
                <w:lang w:val="en-US"/>
              </w:rPr>
              <w:t xml:space="preserve"> within UNESCO's World Heritage Committee. An-</w:t>
            </w:r>
            <w:proofErr w:type="spellStart"/>
            <w:r w:rsidRPr="00E47618">
              <w:rPr>
                <w:rFonts w:ascii="Times New Roman" w:eastAsiaTheme="minorHAnsi" w:hAnsi="Times New Roman"/>
                <w:sz w:val="24"/>
                <w:szCs w:val="24"/>
                <w:lang w:val="en-US"/>
              </w:rPr>
              <w:t>thropological</w:t>
            </w:r>
            <w:proofErr w:type="spellEnd"/>
            <w:r w:rsidRPr="00E47618">
              <w:rPr>
                <w:rFonts w:ascii="Times New Roman" w:eastAsiaTheme="minorHAnsi" w:hAnsi="Times New Roman"/>
                <w:sz w:val="24"/>
                <w:szCs w:val="24"/>
                <w:lang w:val="en-US"/>
              </w:rPr>
              <w:t xml:space="preserve"> Quarterly, Vol. 87, No. 1 (Winter 2014), pp. 217-243.</w:t>
            </w:r>
          </w:p>
          <w:p w:rsidR="00E47618" w:rsidRPr="00E47618" w:rsidRDefault="00E47618" w:rsidP="00E47618">
            <w:pPr>
              <w:spacing w:after="0" w:line="240" w:lineRule="auto"/>
              <w:rPr>
                <w:rFonts w:ascii="Times New Roman" w:eastAsiaTheme="minorHAnsi" w:hAnsi="Times New Roman"/>
                <w:sz w:val="24"/>
                <w:szCs w:val="24"/>
                <w:lang w:val="en-US"/>
              </w:rPr>
            </w:pPr>
            <w:r w:rsidRPr="00E47618">
              <w:rPr>
                <w:rFonts w:ascii="Times New Roman" w:eastAsiaTheme="minorHAnsi" w:hAnsi="Times New Roman"/>
                <w:sz w:val="24"/>
                <w:szCs w:val="24"/>
                <w:lang w:val="en-US"/>
              </w:rPr>
              <w:t>2.</w:t>
            </w:r>
            <w:r w:rsidRPr="00E47618">
              <w:rPr>
                <w:rFonts w:ascii="Times New Roman" w:eastAsiaTheme="minorHAnsi" w:hAnsi="Times New Roman"/>
                <w:sz w:val="24"/>
                <w:szCs w:val="24"/>
                <w:lang w:val="en-US"/>
              </w:rPr>
              <w:tab/>
              <w:t xml:space="preserve">Helen Human, </w:t>
            </w:r>
            <w:proofErr w:type="spellStart"/>
            <w:r w:rsidRPr="00E47618">
              <w:rPr>
                <w:rFonts w:ascii="Times New Roman" w:eastAsiaTheme="minorHAnsi" w:hAnsi="Times New Roman"/>
                <w:sz w:val="24"/>
                <w:szCs w:val="24"/>
                <w:lang w:val="en-US"/>
              </w:rPr>
              <w:t>Democratising</w:t>
            </w:r>
            <w:proofErr w:type="spellEnd"/>
            <w:r w:rsidRPr="00E47618">
              <w:rPr>
                <w:rFonts w:ascii="Times New Roman" w:eastAsiaTheme="minorHAnsi" w:hAnsi="Times New Roman"/>
                <w:sz w:val="24"/>
                <w:szCs w:val="24"/>
                <w:lang w:val="en-US"/>
              </w:rPr>
              <w:t xml:space="preserve"> world heritage: The policies and practices of community involvement in Turkey Journal of So-</w:t>
            </w:r>
            <w:proofErr w:type="spellStart"/>
            <w:r w:rsidRPr="00E47618">
              <w:rPr>
                <w:rFonts w:ascii="Times New Roman" w:eastAsiaTheme="minorHAnsi" w:hAnsi="Times New Roman"/>
                <w:sz w:val="24"/>
                <w:szCs w:val="24"/>
                <w:lang w:val="en-US"/>
              </w:rPr>
              <w:t>cial</w:t>
            </w:r>
            <w:proofErr w:type="spellEnd"/>
            <w:r w:rsidRPr="00E47618">
              <w:rPr>
                <w:rFonts w:ascii="Times New Roman" w:eastAsiaTheme="minorHAnsi" w:hAnsi="Times New Roman"/>
                <w:sz w:val="24"/>
                <w:szCs w:val="24"/>
                <w:lang w:val="en-US"/>
              </w:rPr>
              <w:t xml:space="preserve"> Archaeology, 2015, Vol. 15(2) 160–183.</w:t>
            </w:r>
          </w:p>
          <w:p w:rsidR="00E47618" w:rsidRPr="00E47618" w:rsidRDefault="00E47618" w:rsidP="00E47618">
            <w:pPr>
              <w:spacing w:after="0" w:line="240" w:lineRule="auto"/>
              <w:rPr>
                <w:rFonts w:ascii="Times New Roman" w:eastAsiaTheme="minorHAnsi" w:hAnsi="Times New Roman"/>
                <w:sz w:val="24"/>
                <w:szCs w:val="24"/>
                <w:lang w:val="en-US"/>
              </w:rPr>
            </w:pPr>
            <w:r w:rsidRPr="00E47618">
              <w:rPr>
                <w:rFonts w:ascii="Times New Roman" w:eastAsiaTheme="minorHAnsi" w:hAnsi="Times New Roman"/>
                <w:sz w:val="24"/>
                <w:szCs w:val="24"/>
                <w:lang w:val="en-US"/>
              </w:rPr>
              <w:t>3.</w:t>
            </w:r>
            <w:r w:rsidRPr="00E47618">
              <w:rPr>
                <w:rFonts w:ascii="Times New Roman" w:eastAsiaTheme="minorHAnsi" w:hAnsi="Times New Roman"/>
                <w:sz w:val="24"/>
                <w:szCs w:val="24"/>
                <w:lang w:val="en-US"/>
              </w:rPr>
              <w:tab/>
              <w:t>JOSEP-MARIA GARCIA-FUENTES, “A Nation of Monas-</w:t>
            </w:r>
            <w:proofErr w:type="spellStart"/>
            <w:r w:rsidRPr="00E47618">
              <w:rPr>
                <w:rFonts w:ascii="Times New Roman" w:eastAsiaTheme="minorHAnsi" w:hAnsi="Times New Roman"/>
                <w:sz w:val="24"/>
                <w:szCs w:val="24"/>
                <w:lang w:val="en-US"/>
              </w:rPr>
              <w:t>teries</w:t>
            </w:r>
            <w:proofErr w:type="spellEnd"/>
            <w:r w:rsidRPr="00E47618">
              <w:rPr>
                <w:rFonts w:ascii="Times New Roman" w:eastAsiaTheme="minorHAnsi" w:hAnsi="Times New Roman"/>
                <w:sz w:val="24"/>
                <w:szCs w:val="24"/>
                <w:lang w:val="en-US"/>
              </w:rPr>
              <w:t xml:space="preserve">: The Legacy of Víctor Balaguer in the Spanish </w:t>
            </w:r>
            <w:proofErr w:type="spellStart"/>
            <w:r w:rsidRPr="00E47618">
              <w:rPr>
                <w:rFonts w:ascii="Times New Roman" w:eastAsiaTheme="minorHAnsi" w:hAnsi="Times New Roman"/>
                <w:sz w:val="24"/>
                <w:szCs w:val="24"/>
                <w:lang w:val="en-US"/>
              </w:rPr>
              <w:t>Concep-tion</w:t>
            </w:r>
            <w:proofErr w:type="spellEnd"/>
            <w:r w:rsidRPr="00E47618">
              <w:rPr>
                <w:rFonts w:ascii="Times New Roman" w:eastAsiaTheme="minorHAnsi" w:hAnsi="Times New Roman"/>
                <w:sz w:val="24"/>
                <w:szCs w:val="24"/>
                <w:lang w:val="en-US"/>
              </w:rPr>
              <w:t xml:space="preserve"> of National Monuments” in Future Anterior: Journal of Historic Preservation, History, Theory, and Criticism, Vol. 10, No. 1 (Summer 2013), pp. 41-51</w:t>
            </w:r>
          </w:p>
          <w:p w:rsidR="00E47618" w:rsidRPr="00E47618" w:rsidRDefault="00E47618" w:rsidP="00E47618">
            <w:pPr>
              <w:spacing w:after="0" w:line="240" w:lineRule="auto"/>
              <w:rPr>
                <w:rFonts w:ascii="Times New Roman" w:eastAsiaTheme="minorHAnsi" w:hAnsi="Times New Roman"/>
                <w:sz w:val="24"/>
                <w:szCs w:val="24"/>
                <w:lang w:val="en-US"/>
              </w:rPr>
            </w:pPr>
            <w:r w:rsidRPr="00E47618">
              <w:rPr>
                <w:rFonts w:ascii="Times New Roman" w:eastAsiaTheme="minorHAnsi" w:hAnsi="Times New Roman"/>
                <w:sz w:val="24"/>
                <w:szCs w:val="24"/>
                <w:lang w:val="en-US"/>
              </w:rPr>
              <w:t>4.</w:t>
            </w:r>
            <w:r w:rsidRPr="00E47618">
              <w:rPr>
                <w:rFonts w:ascii="Times New Roman" w:eastAsiaTheme="minorHAnsi" w:hAnsi="Times New Roman"/>
                <w:sz w:val="24"/>
                <w:szCs w:val="24"/>
                <w:lang w:val="en-US"/>
              </w:rPr>
              <w:tab/>
              <w:t xml:space="preserve">CATRIONA KELLY ‘Socialist Churches: Heritage </w:t>
            </w:r>
            <w:proofErr w:type="spellStart"/>
            <w:r w:rsidRPr="00E47618">
              <w:rPr>
                <w:rFonts w:ascii="Times New Roman" w:eastAsiaTheme="minorHAnsi" w:hAnsi="Times New Roman"/>
                <w:sz w:val="24"/>
                <w:szCs w:val="24"/>
                <w:lang w:val="en-US"/>
              </w:rPr>
              <w:t>Preserva-tion</w:t>
            </w:r>
            <w:proofErr w:type="spellEnd"/>
            <w:r w:rsidRPr="00E47618">
              <w:rPr>
                <w:rFonts w:ascii="Times New Roman" w:eastAsiaTheme="minorHAnsi" w:hAnsi="Times New Roman"/>
                <w:sz w:val="24"/>
                <w:szCs w:val="24"/>
                <w:lang w:val="en-US"/>
              </w:rPr>
              <w:t xml:space="preserve"> </w:t>
            </w:r>
            <w:r w:rsidRPr="00E47618">
              <w:rPr>
                <w:rFonts w:ascii="Times New Roman" w:eastAsiaTheme="minorHAnsi" w:hAnsi="Times New Roman"/>
                <w:sz w:val="24"/>
                <w:szCs w:val="24"/>
                <w:lang w:val="en-US"/>
              </w:rPr>
              <w:lastRenderedPageBreak/>
              <w:t>and “Cultic Buildings” in Leningrad, 1924–1940’ Slavic Review, Vol. 71, No. 4 (winter 2012), pp. 792-823.</w:t>
            </w:r>
          </w:p>
          <w:p w:rsidR="00E47618" w:rsidRDefault="00E47618" w:rsidP="00E47618">
            <w:pPr>
              <w:spacing w:after="0" w:line="240" w:lineRule="auto"/>
              <w:rPr>
                <w:rFonts w:ascii="Times New Roman" w:eastAsiaTheme="minorHAnsi" w:hAnsi="Times New Roman"/>
                <w:sz w:val="24"/>
                <w:szCs w:val="24"/>
                <w:lang w:val="en-US"/>
              </w:rPr>
            </w:pPr>
            <w:r w:rsidRPr="00E47618">
              <w:rPr>
                <w:rFonts w:ascii="Times New Roman" w:eastAsiaTheme="minorHAnsi" w:hAnsi="Times New Roman"/>
                <w:sz w:val="24"/>
                <w:szCs w:val="24"/>
                <w:lang w:val="en-US"/>
              </w:rPr>
              <w:t>5.</w:t>
            </w:r>
            <w:r w:rsidRPr="00E47618">
              <w:rPr>
                <w:rFonts w:ascii="Times New Roman" w:eastAsiaTheme="minorHAnsi" w:hAnsi="Times New Roman"/>
                <w:sz w:val="24"/>
                <w:szCs w:val="24"/>
                <w:lang w:val="en-US"/>
              </w:rPr>
              <w:tab/>
              <w:t xml:space="preserve">DOUGLAS A. HURT, AJAX DELVECKI, ADAM PAYNE AND GARY GRESS, “Oklahoma Tourism Along Route 66: Pioneers, </w:t>
            </w:r>
            <w:proofErr w:type="spellStart"/>
            <w:r w:rsidRPr="00E47618">
              <w:rPr>
                <w:rFonts w:ascii="Times New Roman" w:eastAsiaTheme="minorHAnsi" w:hAnsi="Times New Roman"/>
                <w:sz w:val="24"/>
                <w:szCs w:val="24"/>
                <w:lang w:val="en-US"/>
              </w:rPr>
              <w:t>Persever-ance</w:t>
            </w:r>
            <w:proofErr w:type="spellEnd"/>
            <w:r w:rsidRPr="00E47618">
              <w:rPr>
                <w:rFonts w:ascii="Times New Roman" w:eastAsiaTheme="minorHAnsi" w:hAnsi="Times New Roman"/>
                <w:sz w:val="24"/>
                <w:szCs w:val="24"/>
                <w:lang w:val="en-US"/>
              </w:rPr>
              <w:t>, Community, and Freedom” in Material Culture, Vol. 44, No. 1 (Spring 2012), pp. 31-49</w:t>
            </w:r>
          </w:p>
        </w:tc>
      </w:tr>
      <w:tr w:rsidR="00C42A27" w:rsidRPr="002C7AAD"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Pr="002C7AAD" w:rsidRDefault="002C7AAD" w:rsidP="002C7AA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Ass. Prof. Alexey </w:t>
            </w:r>
            <w:proofErr w:type="spellStart"/>
            <w:r w:rsidR="00E47618" w:rsidRPr="002C7AAD">
              <w:rPr>
                <w:rFonts w:ascii="Times New Roman" w:eastAsiaTheme="minorHAnsi" w:hAnsi="Times New Roman"/>
                <w:sz w:val="24"/>
                <w:szCs w:val="24"/>
                <w:lang w:val="en-US"/>
              </w:rPr>
              <w:t>Kraikovski</w:t>
            </w:r>
            <w:proofErr w:type="spellEnd"/>
            <w:r w:rsidR="00E47618" w:rsidRPr="002C7AAD">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 xml:space="preserve">Ass. Prof. </w:t>
            </w:r>
            <w:r w:rsidR="00E47618" w:rsidRPr="002C7AAD">
              <w:rPr>
                <w:rFonts w:ascii="Times New Roman" w:eastAsiaTheme="minorHAnsi" w:hAnsi="Times New Roman"/>
                <w:sz w:val="24"/>
                <w:szCs w:val="24"/>
                <w:lang w:val="en-US"/>
              </w:rPr>
              <w:t>M</w:t>
            </w:r>
            <w:r>
              <w:rPr>
                <w:rFonts w:ascii="Times New Roman" w:eastAsiaTheme="minorHAnsi" w:hAnsi="Times New Roman"/>
                <w:sz w:val="24"/>
                <w:szCs w:val="24"/>
                <w:lang w:val="en-US"/>
              </w:rPr>
              <w:t>argarita</w:t>
            </w:r>
            <w:r w:rsidR="00E47618" w:rsidRPr="002C7AAD">
              <w:rPr>
                <w:rFonts w:ascii="Times New Roman" w:eastAsiaTheme="minorHAnsi" w:hAnsi="Times New Roman"/>
                <w:sz w:val="24"/>
                <w:szCs w:val="24"/>
                <w:lang w:val="en-US"/>
              </w:rPr>
              <w:t xml:space="preserve"> </w:t>
            </w:r>
            <w:proofErr w:type="spellStart"/>
            <w:r w:rsidR="00E47618" w:rsidRPr="002C7AAD">
              <w:rPr>
                <w:rFonts w:ascii="Times New Roman" w:eastAsiaTheme="minorHAnsi" w:hAnsi="Times New Roman"/>
                <w:sz w:val="24"/>
                <w:szCs w:val="24"/>
                <w:lang w:val="en-US"/>
              </w:rPr>
              <w:t>Dadykina</w:t>
            </w:r>
            <w:proofErr w:type="spellEnd"/>
            <w:r w:rsidR="00E47618" w:rsidRPr="002C7AAD">
              <w:rPr>
                <w:rFonts w:ascii="Times New Roman" w:eastAsiaTheme="minorHAnsi" w:hAnsi="Times New Roman"/>
                <w:sz w:val="24"/>
                <w:szCs w:val="24"/>
                <w:lang w:val="en-US"/>
              </w:rPr>
              <w:t>.</w:t>
            </w:r>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F2C" w:rsidRDefault="00B27F2C" w:rsidP="00F31F02">
      <w:pPr>
        <w:spacing w:after="0" w:line="240" w:lineRule="auto"/>
      </w:pPr>
      <w:r>
        <w:separator/>
      </w:r>
    </w:p>
  </w:endnote>
  <w:endnote w:type="continuationSeparator" w:id="0">
    <w:p w:rsidR="00B27F2C" w:rsidRDefault="00B27F2C"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F2C" w:rsidRDefault="00B27F2C" w:rsidP="00F31F02">
      <w:pPr>
        <w:spacing w:after="0" w:line="240" w:lineRule="auto"/>
      </w:pPr>
      <w:r>
        <w:separator/>
      </w:r>
    </w:p>
  </w:footnote>
  <w:footnote w:type="continuationSeparator" w:id="0">
    <w:p w:rsidR="00B27F2C" w:rsidRDefault="00B27F2C" w:rsidP="00F31F02">
      <w:pPr>
        <w:spacing w:after="0" w:line="240" w:lineRule="auto"/>
      </w:pPr>
      <w:r>
        <w:continuationSeparator/>
      </w:r>
    </w:p>
  </w:footnote>
  <w:footnote w:id="1">
    <w:p w:rsidR="00F31F02" w:rsidRPr="00925F7A" w:rsidRDefault="00F31F02" w:rsidP="00F31F02">
      <w:pPr>
        <w:spacing w:after="0" w:line="240" w:lineRule="auto"/>
        <w:jc w:val="both"/>
        <w:rPr>
          <w:rFonts w:ascii="Times New Roman" w:hAnsi="Times New Roman"/>
          <w:b/>
          <w:i/>
          <w:lang w:val="en-US"/>
        </w:rPr>
      </w:pPr>
      <w:r w:rsidRPr="00925F7A">
        <w:rPr>
          <w:rFonts w:ascii="Times New Roman" w:hAnsi="Times New Roman"/>
          <w:b/>
          <w:i/>
          <w:lang w:val="en-US"/>
        </w:rPr>
        <w:t>Notes:</w:t>
      </w:r>
    </w:p>
    <w:p w:rsidR="00F31F02" w:rsidRPr="00925F7A" w:rsidRDefault="00F31F02" w:rsidP="00F31F02">
      <w:pPr>
        <w:spacing w:after="0" w:line="240" w:lineRule="auto"/>
        <w:jc w:val="both"/>
        <w:rPr>
          <w:lang w:val="en-US"/>
        </w:rPr>
      </w:pPr>
      <w:r w:rsidRPr="00925F7A">
        <w:rPr>
          <w:rStyle w:val="a6"/>
        </w:rPr>
        <w:footnoteRef/>
      </w:r>
      <w:r w:rsidRPr="00925F7A">
        <w:rPr>
          <w:lang w:val="en-US"/>
        </w:rPr>
        <w:t xml:space="preserve"> </w:t>
      </w:r>
      <w:r w:rsidR="002376BB" w:rsidRPr="00925F7A">
        <w:rPr>
          <w:rFonts w:ascii="Times New Roman" w:eastAsiaTheme="minorHAnsi" w:hAnsi="Times New Roman"/>
          <w:lang w:val="en-US"/>
        </w:rPr>
        <w:t>Type of the course - core (mandatory);</w:t>
      </w:r>
      <w:r w:rsidRPr="00925F7A">
        <w:rPr>
          <w:rFonts w:ascii="Times New Roman" w:eastAsiaTheme="minorHAnsi" w:hAnsi="Times New Roman"/>
          <w:lang w:val="en-US"/>
        </w:rPr>
        <w:t xml:space="preserve"> optional or elective.</w:t>
      </w:r>
    </w:p>
  </w:footnote>
  <w:footnote w:id="2">
    <w:p w:rsidR="00F31F02" w:rsidRPr="00925F7A" w:rsidRDefault="00F31F02">
      <w:pPr>
        <w:pStyle w:val="a4"/>
        <w:rPr>
          <w:sz w:val="22"/>
          <w:szCs w:val="22"/>
          <w:lang w:val="en-US"/>
        </w:rPr>
      </w:pPr>
      <w:r w:rsidRPr="00925F7A">
        <w:rPr>
          <w:rStyle w:val="a6"/>
          <w:sz w:val="22"/>
          <w:szCs w:val="22"/>
        </w:rPr>
        <w:footnoteRef/>
      </w:r>
      <w:r w:rsidRPr="00925F7A">
        <w:rPr>
          <w:sz w:val="22"/>
          <w:szCs w:val="22"/>
          <w:lang w:val="en-US"/>
        </w:rPr>
        <w:t xml:space="preserve"> </w:t>
      </w:r>
      <w:r w:rsidRPr="00925F7A">
        <w:rPr>
          <w:rFonts w:ascii="Times New Roman" w:eastAsiaTheme="minorHAnsi" w:hAnsi="Times New Roman"/>
          <w:sz w:val="22"/>
          <w:szCs w:val="22"/>
          <w:lang w:val="en-US"/>
        </w:rPr>
        <w:t xml:space="preserve">Intended Learning Outcomes (ILO) - for the academic </w:t>
      </w:r>
      <w:proofErr w:type="spellStart"/>
      <w:r w:rsidRPr="00925F7A">
        <w:rPr>
          <w:rFonts w:ascii="Times New Roman" w:eastAsiaTheme="minorHAnsi" w:hAnsi="Times New Roman"/>
          <w:sz w:val="22"/>
          <w:szCs w:val="22"/>
          <w:lang w:val="en-US"/>
        </w:rPr>
        <w:t>programmes</w:t>
      </w:r>
      <w:proofErr w:type="spellEnd"/>
      <w:r w:rsidRPr="00925F7A">
        <w:rPr>
          <w:rFonts w:ascii="Times New Roman" w:eastAsiaTheme="minorHAnsi" w:hAnsi="Times New Roman"/>
          <w:sz w:val="22"/>
          <w:szCs w:val="22"/>
          <w:lang w:val="en-US"/>
        </w:rPr>
        <w:t xml:space="preserve"> which are exposed to international accreditation or other forms of external evaluation, the list of ILO must be complemented with “Mapping of Programme and Course/module learning outcomes”.</w:t>
      </w:r>
    </w:p>
  </w:footnote>
  <w:footnote w:id="3">
    <w:p w:rsidR="00F31F02" w:rsidRPr="00925F7A" w:rsidRDefault="00F31F02" w:rsidP="00F31F02">
      <w:pPr>
        <w:spacing w:after="0" w:line="240" w:lineRule="auto"/>
        <w:rPr>
          <w:rFonts w:ascii="Times New Roman" w:eastAsiaTheme="minorHAnsi" w:hAnsi="Times New Roman"/>
          <w:lang w:val="en-US"/>
        </w:rPr>
      </w:pPr>
      <w:r w:rsidRPr="00925F7A">
        <w:rPr>
          <w:rStyle w:val="a6"/>
        </w:rPr>
        <w:footnoteRef/>
      </w:r>
      <w:r w:rsidRPr="00925F7A">
        <w:rPr>
          <w:lang w:val="en-US"/>
        </w:rPr>
        <w:t xml:space="preserve"> </w:t>
      </w:r>
      <w:r w:rsidRPr="00925F7A">
        <w:rPr>
          <w:rFonts w:ascii="Times New Roman" w:eastAsiaTheme="minorHAnsi" w:hAnsi="Times New Roman"/>
          <w:lang w:val="en-US"/>
        </w:rPr>
        <w:t>Indicative Learning Resources - to be filled either in the Course descriptor or in the Course Syllabus.</w:t>
      </w:r>
    </w:p>
    <w:p w:rsidR="00F31F02" w:rsidRPr="00F31F02" w:rsidRDefault="00F31F02">
      <w:pPr>
        <w:pStyle w:val="a4"/>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0367F"/>
    <w:multiLevelType w:val="hybridMultilevel"/>
    <w:tmpl w:val="3D58AAE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2" w15:restartNumberingAfterBreak="0">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A27"/>
    <w:rsid w:val="00016FD6"/>
    <w:rsid w:val="001269F5"/>
    <w:rsid w:val="00192E1E"/>
    <w:rsid w:val="00227878"/>
    <w:rsid w:val="002376BB"/>
    <w:rsid w:val="002C7AAD"/>
    <w:rsid w:val="0033665B"/>
    <w:rsid w:val="00350F7A"/>
    <w:rsid w:val="00360ED6"/>
    <w:rsid w:val="00436007"/>
    <w:rsid w:val="004621E2"/>
    <w:rsid w:val="004B1D7A"/>
    <w:rsid w:val="004E303F"/>
    <w:rsid w:val="00554AD8"/>
    <w:rsid w:val="0057785A"/>
    <w:rsid w:val="00581152"/>
    <w:rsid w:val="00613DCA"/>
    <w:rsid w:val="00644510"/>
    <w:rsid w:val="006A0D74"/>
    <w:rsid w:val="006F1B3F"/>
    <w:rsid w:val="007A2171"/>
    <w:rsid w:val="00802D49"/>
    <w:rsid w:val="008308B5"/>
    <w:rsid w:val="00925F7A"/>
    <w:rsid w:val="00B25DE1"/>
    <w:rsid w:val="00B27F2C"/>
    <w:rsid w:val="00B5254A"/>
    <w:rsid w:val="00C42A27"/>
    <w:rsid w:val="00C65DEF"/>
    <w:rsid w:val="00D4693C"/>
    <w:rsid w:val="00D640A5"/>
    <w:rsid w:val="00D85442"/>
    <w:rsid w:val="00D95D7E"/>
    <w:rsid w:val="00DB57AC"/>
    <w:rsid w:val="00E47618"/>
    <w:rsid w:val="00E9042D"/>
    <w:rsid w:val="00F064BA"/>
    <w:rsid w:val="00F31F02"/>
    <w:rsid w:val="00F61F33"/>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A75D1-96A1-45A5-8AFB-7BE7E948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paragraph" w:customStyle="1" w:styleId="2">
    <w:name w:val="Обычный2"/>
    <w:rsid w:val="00C65DEF"/>
    <w:pPr>
      <w:spacing w:after="0"/>
      <w:contextualSpacing/>
    </w:pPr>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93482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7A2B2-E950-40B2-9D6A-E2844059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1074</Words>
  <Characters>6127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Julia</cp:lastModifiedBy>
  <cp:revision>5</cp:revision>
  <cp:lastPrinted>2018-03-13T09:40:00Z</cp:lastPrinted>
  <dcterms:created xsi:type="dcterms:W3CDTF">2019-03-11T15:03:00Z</dcterms:created>
  <dcterms:modified xsi:type="dcterms:W3CDTF">2019-03-19T11:23:00Z</dcterms:modified>
</cp:coreProperties>
</file>