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5368D6" w:rsidRDefault="00C42A27" w:rsidP="005368D6">
      <w:pPr>
        <w:spacing w:after="0" w:line="240" w:lineRule="auto"/>
        <w:rPr>
          <w:rFonts w:ascii="Times New Roman" w:eastAsiaTheme="minorHAnsi" w:hAnsi="Times New Roman"/>
          <w:b/>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77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2410"/>
        <w:gridCol w:w="4252"/>
      </w:tblGrid>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Title of the course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5368D6" w:rsidRDefault="00756698">
            <w:pPr>
              <w:spacing w:after="0" w:line="240" w:lineRule="auto"/>
              <w:rPr>
                <w:rFonts w:ascii="Times New Roman" w:eastAsiaTheme="minorHAnsi" w:hAnsi="Times New Roman"/>
                <w:b/>
                <w:sz w:val="20"/>
                <w:szCs w:val="24"/>
                <w:lang w:val="en-US"/>
              </w:rPr>
            </w:pPr>
            <w:bookmarkStart w:id="0" w:name="_GoBack"/>
            <w:r w:rsidRPr="005368D6">
              <w:rPr>
                <w:rFonts w:ascii="Times New Roman" w:eastAsiaTheme="minorHAnsi" w:hAnsi="Times New Roman"/>
                <w:b/>
                <w:sz w:val="20"/>
                <w:szCs w:val="24"/>
                <w:lang w:val="en-US"/>
              </w:rPr>
              <w:t>Social history of early modern, modern and contemporary Europe</w:t>
            </w:r>
            <w:bookmarkEnd w:id="0"/>
          </w:p>
        </w:tc>
      </w:tr>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 xml:space="preserve">Title of the Academic Programme </w:t>
            </w:r>
          </w:p>
        </w:tc>
        <w:tc>
          <w:tcPr>
            <w:tcW w:w="89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5368D6" w:rsidRDefault="00756698">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Bachelor in History</w:t>
            </w:r>
          </w:p>
        </w:tc>
      </w:tr>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rsidP="00D60791">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Type of the course</w:t>
            </w:r>
          </w:p>
        </w:tc>
        <w:tc>
          <w:tcPr>
            <w:tcW w:w="89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5368D6" w:rsidRDefault="00756698">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Elective</w:t>
            </w:r>
          </w:p>
        </w:tc>
      </w:tr>
      <w:tr w:rsidR="00C42A27" w:rsidRPr="005368D6" w:rsidTr="005368D6">
        <w:trPr>
          <w:trHeight w:val="230"/>
        </w:trPr>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Prerequisites</w:t>
            </w:r>
          </w:p>
        </w:tc>
        <w:tc>
          <w:tcPr>
            <w:tcW w:w="89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5368D6" w:rsidRDefault="00756698">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Foreign language (English); Introduction to social anthropology; Source criticism, theory and history of historical knowledge; Global and comparative history; Europe in the 5</w:t>
            </w:r>
            <w:r w:rsidRPr="005368D6">
              <w:rPr>
                <w:rFonts w:ascii="Times New Roman" w:eastAsiaTheme="minorHAnsi" w:hAnsi="Times New Roman"/>
                <w:sz w:val="20"/>
                <w:szCs w:val="24"/>
                <w:vertAlign w:val="superscript"/>
                <w:lang w:val="en-US"/>
              </w:rPr>
              <w:t>th</w:t>
            </w:r>
            <w:r w:rsidRPr="005368D6">
              <w:rPr>
                <w:rFonts w:ascii="Times New Roman" w:eastAsiaTheme="minorHAnsi" w:hAnsi="Times New Roman"/>
                <w:sz w:val="20"/>
                <w:szCs w:val="24"/>
                <w:lang w:val="en-US"/>
              </w:rPr>
              <w:t>-17</w:t>
            </w:r>
            <w:r w:rsidRPr="005368D6">
              <w:rPr>
                <w:rFonts w:ascii="Times New Roman" w:eastAsiaTheme="minorHAnsi" w:hAnsi="Times New Roman"/>
                <w:sz w:val="20"/>
                <w:szCs w:val="24"/>
                <w:vertAlign w:val="superscript"/>
                <w:lang w:val="en-US"/>
              </w:rPr>
              <w:t>th</w:t>
            </w:r>
            <w:r w:rsidRPr="005368D6">
              <w:rPr>
                <w:rFonts w:ascii="Times New Roman" w:eastAsiaTheme="minorHAnsi" w:hAnsi="Times New Roman"/>
                <w:sz w:val="20"/>
                <w:szCs w:val="24"/>
                <w:lang w:val="en-US"/>
              </w:rPr>
              <w:t xml:space="preserve"> centuries</w:t>
            </w:r>
          </w:p>
        </w:tc>
      </w:tr>
      <w:tr w:rsidR="00C42A27" w:rsidRPr="005368D6" w:rsidTr="005368D6">
        <w:trPr>
          <w:trHeight w:val="230"/>
        </w:trPr>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ECTS</w:t>
            </w:r>
            <w:r w:rsidR="00D85442" w:rsidRPr="005368D6">
              <w:rPr>
                <w:rFonts w:ascii="Times New Roman" w:eastAsiaTheme="minorHAnsi" w:hAnsi="Times New Roman"/>
                <w:sz w:val="20"/>
                <w:szCs w:val="24"/>
                <w:lang w:val="en-US"/>
              </w:rPr>
              <w:t xml:space="preserve"> workload</w:t>
            </w:r>
          </w:p>
        </w:tc>
        <w:tc>
          <w:tcPr>
            <w:tcW w:w="89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5368D6" w:rsidRDefault="00510744">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5</w:t>
            </w:r>
          </w:p>
        </w:tc>
      </w:tr>
      <w:tr w:rsidR="00C42A27" w:rsidRPr="005368D6" w:rsidTr="005368D6">
        <w:trPr>
          <w:trHeight w:val="217"/>
        </w:trPr>
        <w:tc>
          <w:tcPr>
            <w:tcW w:w="1844"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 xml:space="preserve">Self-directed study </w:t>
            </w:r>
          </w:p>
        </w:tc>
        <w:tc>
          <w:tcPr>
            <w:tcW w:w="4252" w:type="dxa"/>
            <w:tcBorders>
              <w:top w:val="single" w:sz="4" w:space="0" w:color="auto"/>
              <w:left w:val="single" w:sz="4" w:space="0" w:color="auto"/>
              <w:bottom w:val="single" w:sz="4" w:space="0" w:color="auto"/>
              <w:right w:val="single" w:sz="4" w:space="0" w:color="auto"/>
            </w:tcBorders>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Total</w:t>
            </w:r>
          </w:p>
        </w:tc>
      </w:tr>
      <w:tr w:rsidR="00C42A27" w:rsidRPr="005368D6" w:rsidTr="005368D6">
        <w:trPr>
          <w:trHeight w:val="21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42A27" w:rsidRPr="005368D6" w:rsidRDefault="00C42A27">
            <w:pPr>
              <w:spacing w:after="0" w:line="240" w:lineRule="auto"/>
              <w:rPr>
                <w:rFonts w:ascii="Times New Roman" w:eastAsiaTheme="minorHAnsi" w:hAnsi="Times New Roman"/>
                <w:sz w:val="20"/>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368D6" w:rsidRDefault="00510744" w:rsidP="009A1F23">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76</w:t>
            </w:r>
          </w:p>
        </w:tc>
        <w:tc>
          <w:tcPr>
            <w:tcW w:w="2410" w:type="dxa"/>
            <w:tcBorders>
              <w:top w:val="single" w:sz="4" w:space="0" w:color="auto"/>
              <w:left w:val="single" w:sz="4" w:space="0" w:color="auto"/>
              <w:bottom w:val="single" w:sz="4" w:space="0" w:color="auto"/>
              <w:right w:val="single" w:sz="4" w:space="0" w:color="auto"/>
            </w:tcBorders>
          </w:tcPr>
          <w:p w:rsidR="00C42A27" w:rsidRPr="005368D6" w:rsidRDefault="00D60791" w:rsidP="00510744">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1</w:t>
            </w:r>
            <w:r w:rsidR="00510744" w:rsidRPr="005368D6">
              <w:rPr>
                <w:rFonts w:ascii="Times New Roman" w:eastAsiaTheme="minorHAnsi" w:hAnsi="Times New Roman"/>
                <w:sz w:val="20"/>
                <w:szCs w:val="24"/>
                <w:lang w:val="en-US"/>
              </w:rPr>
              <w:t>14</w:t>
            </w:r>
          </w:p>
        </w:tc>
        <w:tc>
          <w:tcPr>
            <w:tcW w:w="4252" w:type="dxa"/>
            <w:tcBorders>
              <w:top w:val="single" w:sz="4" w:space="0" w:color="auto"/>
              <w:left w:val="single" w:sz="4" w:space="0" w:color="auto"/>
              <w:bottom w:val="single" w:sz="4" w:space="0" w:color="auto"/>
              <w:right w:val="single" w:sz="4" w:space="0" w:color="auto"/>
            </w:tcBorders>
          </w:tcPr>
          <w:p w:rsidR="00C42A27" w:rsidRPr="005368D6" w:rsidRDefault="00510744">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190</w:t>
            </w:r>
          </w:p>
        </w:tc>
      </w:tr>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Course Overview</w:t>
            </w:r>
          </w:p>
        </w:tc>
        <w:tc>
          <w:tcPr>
            <w:tcW w:w="89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368D6" w:rsidRDefault="00507FD7" w:rsidP="00507FD7">
            <w:pPr>
              <w:spacing w:after="0"/>
              <w:jc w:val="both"/>
              <w:rPr>
                <w:rFonts w:ascii="Times New Roman" w:eastAsiaTheme="minorHAnsi" w:hAnsi="Times New Roman"/>
                <w:sz w:val="20"/>
                <w:szCs w:val="24"/>
                <w:lang w:val="en-US"/>
              </w:rPr>
            </w:pPr>
            <w:r w:rsidRPr="005368D6">
              <w:rPr>
                <w:rFonts w:ascii="Times New Roman" w:hAnsi="Times New Roman"/>
                <w:sz w:val="20"/>
                <w:szCs w:val="24"/>
                <w:lang w:val="en-US"/>
              </w:rPr>
              <w:t xml:space="preserve">This course is intended to introduce students to the wide variety of methods used in the study of social history, as well as to the subject itself, and to develop their knowledge of historical trends, processes and events of the past 500 years. Students will have an opportunity to explore a range of economic, social and cultural developments in the history of Europe. Using a combination of both primary and secondary sources, the course will explore </w:t>
            </w:r>
            <w:r w:rsidRPr="005368D6">
              <w:rPr>
                <w:rFonts w:ascii="Times New Roman" w:eastAsia="Times New Roman" w:hAnsi="Times New Roman"/>
                <w:sz w:val="20"/>
                <w:szCs w:val="24"/>
                <w:lang w:val="en-US" w:eastAsia="ru-RU"/>
              </w:rPr>
              <w:t xml:space="preserve">a number of ongoing themes: demographic history, family, women’s and children’s history, the history of social stratification, </w:t>
            </w:r>
            <w:r w:rsidRPr="005368D6">
              <w:rPr>
                <w:rFonts w:ascii="Times New Roman" w:hAnsi="Times New Roman"/>
                <w:sz w:val="20"/>
                <w:szCs w:val="24"/>
                <w:lang w:val="en-US"/>
              </w:rPr>
              <w:t>the history of crime, environmental history, the history of popular culture and social movements</w:t>
            </w:r>
            <w:r w:rsidRPr="005368D6">
              <w:rPr>
                <w:rStyle w:val="truncatemore"/>
                <w:rFonts w:ascii="Times New Roman" w:hAnsi="Times New Roman"/>
                <w:sz w:val="20"/>
                <w:szCs w:val="24"/>
                <w:lang w:val="en-US"/>
              </w:rPr>
              <w:t>.</w:t>
            </w:r>
          </w:p>
        </w:tc>
      </w:tr>
      <w:tr w:rsidR="00613DCA"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5368D6" w:rsidRDefault="00613DCA">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Indicative Course Content</w:t>
            </w:r>
          </w:p>
        </w:tc>
        <w:tc>
          <w:tcPr>
            <w:tcW w:w="89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Pr="005368D6" w:rsidRDefault="003553F8" w:rsidP="00C636F6">
            <w:pPr>
              <w:spacing w:after="120" w:line="240" w:lineRule="auto"/>
              <w:jc w:val="both"/>
              <w:rPr>
                <w:rFonts w:ascii="Times New Roman" w:eastAsiaTheme="minorHAnsi" w:hAnsi="Times New Roman"/>
                <w:sz w:val="20"/>
                <w:szCs w:val="24"/>
                <w:lang w:val="en-US"/>
              </w:rPr>
            </w:pPr>
            <w:r w:rsidRPr="005368D6">
              <w:rPr>
                <w:rFonts w:ascii="Times New Roman" w:hAnsi="Times New Roman"/>
                <w:sz w:val="20"/>
                <w:szCs w:val="24"/>
                <w:lang w:val="en-US"/>
              </w:rPr>
              <w:t>The idea of Europe in the early modern period, the conquest of space and the means of communication and transportation. A changing perception of time, clocks and the calendar. Weather and climate in early modern Europe. Sources for the history of climate. Mortality and birth rates in the 16</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-18</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centuries. The Little Ice Age: wars, famine and epidemic diseases. Food and nutrition. Introduction of new cultures to Europe. The family, women and children in early modern Europe. Urban and rural communities, economy and technology in Europe in the early modern period. Social structures in early modern Europe. Popular movements and rebellions, crime and punishment in early modern Europe. Religion and intellectual life in early modern Europe. Historians and the concept of the agricultural revolution in Europe. The consumer revolution of the 18</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century. The industrial revolution and urbanization of Europe in the late 18</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-19</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centuries. </w:t>
            </w:r>
            <w:r w:rsidRPr="005368D6">
              <w:rPr>
                <w:rFonts w:ascii="Times New Roman" w:hAnsi="Times New Roman"/>
                <w:sz w:val="20"/>
                <w:szCs w:val="24"/>
                <w:lang w:val="en-GB"/>
              </w:rPr>
              <w:t xml:space="preserve">New </w:t>
            </w:r>
            <w:r w:rsidRPr="005368D6">
              <w:rPr>
                <w:rFonts w:ascii="Times New Roman" w:hAnsi="Times New Roman"/>
                <w:sz w:val="20"/>
                <w:szCs w:val="24"/>
                <w:lang w:val="en-US"/>
              </w:rPr>
              <w:t>and</w:t>
            </w:r>
            <w:r w:rsidRPr="005368D6">
              <w:rPr>
                <w:rFonts w:ascii="Times New Roman" w:hAnsi="Times New Roman"/>
                <w:sz w:val="20"/>
                <w:szCs w:val="24"/>
                <w:lang w:val="en-GB"/>
              </w:rPr>
              <w:t xml:space="preserve"> </w:t>
            </w:r>
            <w:r w:rsidRPr="005368D6">
              <w:rPr>
                <w:rFonts w:ascii="Times New Roman" w:hAnsi="Times New Roman"/>
                <w:sz w:val="20"/>
                <w:szCs w:val="24"/>
                <w:lang w:val="en-US"/>
              </w:rPr>
              <w:t>old</w:t>
            </w:r>
            <w:r w:rsidRPr="005368D6">
              <w:rPr>
                <w:rFonts w:ascii="Times New Roman" w:hAnsi="Times New Roman"/>
                <w:sz w:val="20"/>
                <w:szCs w:val="24"/>
                <w:lang w:val="en-GB"/>
              </w:rPr>
              <w:t xml:space="preserve"> </w:t>
            </w:r>
            <w:r w:rsidRPr="005368D6">
              <w:rPr>
                <w:rFonts w:ascii="Times New Roman" w:hAnsi="Times New Roman"/>
                <w:sz w:val="20"/>
                <w:szCs w:val="24"/>
                <w:lang w:val="en-US"/>
              </w:rPr>
              <w:t>social</w:t>
            </w:r>
            <w:r w:rsidRPr="005368D6">
              <w:rPr>
                <w:rFonts w:ascii="Times New Roman" w:hAnsi="Times New Roman"/>
                <w:sz w:val="20"/>
                <w:szCs w:val="24"/>
                <w:lang w:val="en-GB"/>
              </w:rPr>
              <w:t xml:space="preserve"> </w:t>
            </w:r>
            <w:r w:rsidRPr="005368D6">
              <w:rPr>
                <w:rFonts w:ascii="Times New Roman" w:hAnsi="Times New Roman"/>
                <w:sz w:val="20"/>
                <w:szCs w:val="24"/>
                <w:lang w:val="en-US"/>
              </w:rPr>
              <w:t>groups</w:t>
            </w:r>
            <w:r w:rsidRPr="005368D6">
              <w:rPr>
                <w:rFonts w:ascii="Times New Roman" w:hAnsi="Times New Roman"/>
                <w:sz w:val="20"/>
                <w:szCs w:val="24"/>
                <w:lang w:val="en-GB"/>
              </w:rPr>
              <w:t xml:space="preserve"> </w:t>
            </w:r>
            <w:r w:rsidRPr="005368D6">
              <w:rPr>
                <w:rFonts w:ascii="Times New Roman" w:hAnsi="Times New Roman"/>
                <w:sz w:val="20"/>
                <w:szCs w:val="24"/>
                <w:lang w:val="en-US"/>
              </w:rPr>
              <w:t>in</w:t>
            </w:r>
            <w:r w:rsidRPr="005368D6">
              <w:rPr>
                <w:rFonts w:ascii="Times New Roman" w:hAnsi="Times New Roman"/>
                <w:sz w:val="20"/>
                <w:szCs w:val="24"/>
                <w:lang w:val="en-GB"/>
              </w:rPr>
              <w:t xml:space="preserve"> </w:t>
            </w:r>
            <w:r w:rsidRPr="005368D6">
              <w:rPr>
                <w:rFonts w:ascii="Times New Roman" w:hAnsi="Times New Roman"/>
                <w:sz w:val="20"/>
                <w:szCs w:val="24"/>
                <w:lang w:val="en-US"/>
              </w:rPr>
              <w:t>the</w:t>
            </w:r>
            <w:r w:rsidRPr="005368D6">
              <w:rPr>
                <w:rFonts w:ascii="Times New Roman" w:hAnsi="Times New Roman"/>
                <w:sz w:val="20"/>
                <w:szCs w:val="24"/>
                <w:lang w:val="en-GB"/>
              </w:rPr>
              <w:t xml:space="preserve"> </w:t>
            </w:r>
            <w:r w:rsidRPr="005368D6">
              <w:rPr>
                <w:rFonts w:ascii="Times New Roman" w:hAnsi="Times New Roman"/>
                <w:sz w:val="20"/>
                <w:szCs w:val="24"/>
                <w:lang w:val="en-US"/>
              </w:rPr>
              <w:t>city</w:t>
            </w:r>
            <w:r w:rsidRPr="005368D6">
              <w:rPr>
                <w:rFonts w:ascii="Times New Roman" w:hAnsi="Times New Roman"/>
                <w:sz w:val="20"/>
                <w:szCs w:val="24"/>
                <w:lang w:val="en-GB"/>
              </w:rPr>
              <w:t xml:space="preserve"> </w:t>
            </w:r>
            <w:r w:rsidRPr="005368D6">
              <w:rPr>
                <w:rFonts w:ascii="Times New Roman" w:hAnsi="Times New Roman"/>
                <w:sz w:val="20"/>
                <w:szCs w:val="24"/>
                <w:lang w:val="en-US"/>
              </w:rPr>
              <w:t>and</w:t>
            </w:r>
            <w:r w:rsidRPr="005368D6">
              <w:rPr>
                <w:rFonts w:ascii="Times New Roman" w:hAnsi="Times New Roman"/>
                <w:sz w:val="20"/>
                <w:szCs w:val="24"/>
                <w:lang w:val="en-GB"/>
              </w:rPr>
              <w:t xml:space="preserve"> </w:t>
            </w:r>
            <w:r w:rsidRPr="005368D6">
              <w:rPr>
                <w:rFonts w:ascii="Times New Roman" w:hAnsi="Times New Roman"/>
                <w:sz w:val="20"/>
                <w:szCs w:val="24"/>
                <w:lang w:val="en-US"/>
              </w:rPr>
              <w:t>the</w:t>
            </w:r>
            <w:r w:rsidRPr="005368D6">
              <w:rPr>
                <w:rFonts w:ascii="Times New Roman" w:hAnsi="Times New Roman"/>
                <w:sz w:val="20"/>
                <w:szCs w:val="24"/>
                <w:lang w:val="en-GB"/>
              </w:rPr>
              <w:t xml:space="preserve"> </w:t>
            </w:r>
            <w:r w:rsidRPr="005368D6">
              <w:rPr>
                <w:rFonts w:ascii="Times New Roman" w:hAnsi="Times New Roman"/>
                <w:sz w:val="20"/>
                <w:szCs w:val="24"/>
                <w:lang w:val="en-US"/>
              </w:rPr>
              <w:t>countryside</w:t>
            </w:r>
            <w:r w:rsidRPr="005368D6">
              <w:rPr>
                <w:rFonts w:ascii="Times New Roman" w:hAnsi="Times New Roman"/>
                <w:sz w:val="20"/>
                <w:szCs w:val="24"/>
                <w:lang w:val="en-GB"/>
              </w:rPr>
              <w:t xml:space="preserve"> </w:t>
            </w:r>
            <w:r w:rsidRPr="005368D6">
              <w:rPr>
                <w:rFonts w:ascii="Times New Roman" w:hAnsi="Times New Roman"/>
                <w:sz w:val="20"/>
                <w:szCs w:val="24"/>
                <w:lang w:val="en-US"/>
              </w:rPr>
              <w:t>in</w:t>
            </w:r>
            <w:r w:rsidRPr="005368D6">
              <w:rPr>
                <w:rFonts w:ascii="Times New Roman" w:hAnsi="Times New Roman"/>
                <w:sz w:val="20"/>
                <w:szCs w:val="24"/>
                <w:lang w:val="en-GB"/>
              </w:rPr>
              <w:t xml:space="preserve"> </w:t>
            </w:r>
            <w:r w:rsidRPr="005368D6">
              <w:rPr>
                <w:rFonts w:ascii="Times New Roman" w:hAnsi="Times New Roman"/>
                <w:sz w:val="20"/>
                <w:szCs w:val="24"/>
                <w:lang w:val="en-US"/>
              </w:rPr>
              <w:t>the</w:t>
            </w:r>
            <w:r w:rsidRPr="005368D6">
              <w:rPr>
                <w:rFonts w:ascii="Times New Roman" w:hAnsi="Times New Roman"/>
                <w:sz w:val="20"/>
                <w:szCs w:val="24"/>
                <w:lang w:val="en-GB"/>
              </w:rPr>
              <w:t xml:space="preserve"> 1</w:t>
            </w:r>
            <w:r w:rsidRPr="005368D6">
              <w:rPr>
                <w:rFonts w:ascii="Times New Roman" w:hAnsi="Times New Roman"/>
                <w:sz w:val="20"/>
                <w:szCs w:val="24"/>
                <w:lang w:val="en-US"/>
              </w:rPr>
              <w:t>9</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century: the nobility, peasantry, bourgeoisie, working class, the transformation of traditional artisans. Demographic history of Europe in the long 19</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century. Family, children, women and women’s question. State administration, methods and technologies of warfare in the 19</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century. Science and religion in the 19</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century. Culture and education in the 19</w:t>
            </w:r>
            <w:r w:rsidRPr="005368D6">
              <w:rPr>
                <w:rFonts w:ascii="Times New Roman" w:hAnsi="Times New Roman"/>
                <w:sz w:val="20"/>
                <w:szCs w:val="24"/>
                <w:vertAlign w:val="superscript"/>
                <w:lang w:val="en-US"/>
              </w:rPr>
              <w:t>th</w:t>
            </w:r>
            <w:r w:rsidRPr="005368D6">
              <w:rPr>
                <w:rFonts w:ascii="Times New Roman" w:hAnsi="Times New Roman"/>
                <w:sz w:val="20"/>
                <w:szCs w:val="24"/>
                <w:lang w:val="en-US"/>
              </w:rPr>
              <w:t xml:space="preserve"> century</w:t>
            </w:r>
            <w:r w:rsidR="00C636F6" w:rsidRPr="005368D6">
              <w:rPr>
                <w:rFonts w:ascii="Times New Roman" w:hAnsi="Times New Roman"/>
                <w:sz w:val="20"/>
                <w:szCs w:val="24"/>
                <w:lang w:val="en-US"/>
              </w:rPr>
              <w:t>. The population of Europe in the 20</w:t>
            </w:r>
            <w:r w:rsidR="00C636F6" w:rsidRPr="005368D6">
              <w:rPr>
                <w:rFonts w:ascii="Times New Roman" w:hAnsi="Times New Roman"/>
                <w:sz w:val="20"/>
                <w:szCs w:val="24"/>
                <w:vertAlign w:val="superscript"/>
                <w:lang w:val="en-US"/>
              </w:rPr>
              <w:t>th</w:t>
            </w:r>
            <w:r w:rsidR="00C636F6" w:rsidRPr="005368D6">
              <w:rPr>
                <w:rFonts w:ascii="Times New Roman" w:hAnsi="Times New Roman"/>
                <w:sz w:val="20"/>
                <w:szCs w:val="24"/>
                <w:lang w:val="en-US"/>
              </w:rPr>
              <w:t xml:space="preserve"> century: demography, family and households. Social stratification and social mobility in the 20</w:t>
            </w:r>
            <w:r w:rsidR="00C636F6" w:rsidRPr="005368D6">
              <w:rPr>
                <w:rFonts w:ascii="Times New Roman" w:hAnsi="Times New Roman"/>
                <w:sz w:val="20"/>
                <w:szCs w:val="24"/>
                <w:vertAlign w:val="superscript"/>
                <w:lang w:val="en-US"/>
              </w:rPr>
              <w:t>th</w:t>
            </w:r>
            <w:r w:rsidR="00C636F6" w:rsidRPr="005368D6">
              <w:rPr>
                <w:rFonts w:ascii="Times New Roman" w:hAnsi="Times New Roman"/>
                <w:sz w:val="20"/>
                <w:szCs w:val="24"/>
                <w:lang w:val="en-US"/>
              </w:rPr>
              <w:t xml:space="preserve"> century. The welfare state in Europe in the 20</w:t>
            </w:r>
            <w:r w:rsidR="00C636F6" w:rsidRPr="005368D6">
              <w:rPr>
                <w:rFonts w:ascii="Times New Roman" w:hAnsi="Times New Roman"/>
                <w:sz w:val="20"/>
                <w:szCs w:val="24"/>
                <w:vertAlign w:val="superscript"/>
                <w:lang w:val="en-US"/>
              </w:rPr>
              <w:t>th</w:t>
            </w:r>
            <w:r w:rsidR="00C636F6" w:rsidRPr="005368D6">
              <w:rPr>
                <w:rFonts w:ascii="Times New Roman" w:hAnsi="Times New Roman"/>
                <w:sz w:val="20"/>
                <w:szCs w:val="24"/>
                <w:lang w:val="en-US"/>
              </w:rPr>
              <w:t xml:space="preserve"> century. Work, leisure and consumption in the 20</w:t>
            </w:r>
            <w:r w:rsidR="00C636F6" w:rsidRPr="005368D6">
              <w:rPr>
                <w:rFonts w:ascii="Times New Roman" w:hAnsi="Times New Roman"/>
                <w:sz w:val="20"/>
                <w:szCs w:val="24"/>
                <w:vertAlign w:val="superscript"/>
                <w:lang w:val="en-US"/>
              </w:rPr>
              <w:t>th</w:t>
            </w:r>
            <w:r w:rsidR="00C636F6" w:rsidRPr="005368D6">
              <w:rPr>
                <w:rFonts w:ascii="Times New Roman" w:hAnsi="Times New Roman"/>
                <w:sz w:val="20"/>
                <w:szCs w:val="24"/>
                <w:lang w:val="en-US"/>
              </w:rPr>
              <w:t xml:space="preserve"> century. Education, religion and culture in the 20</w:t>
            </w:r>
            <w:r w:rsidR="00C636F6" w:rsidRPr="005368D6">
              <w:rPr>
                <w:rFonts w:ascii="Times New Roman" w:hAnsi="Times New Roman"/>
                <w:sz w:val="20"/>
                <w:szCs w:val="24"/>
                <w:vertAlign w:val="superscript"/>
                <w:lang w:val="en-US"/>
              </w:rPr>
              <w:t>th</w:t>
            </w:r>
            <w:r w:rsidR="00C636F6" w:rsidRPr="005368D6">
              <w:rPr>
                <w:rFonts w:ascii="Times New Roman" w:hAnsi="Times New Roman"/>
                <w:sz w:val="20"/>
                <w:szCs w:val="24"/>
                <w:lang w:val="en-US"/>
              </w:rPr>
              <w:t xml:space="preserve"> century.</w:t>
            </w:r>
          </w:p>
        </w:tc>
      </w:tr>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Teaching and Learning Methods</w:t>
            </w:r>
          </w:p>
        </w:tc>
        <w:tc>
          <w:tcPr>
            <w:tcW w:w="89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368D6" w:rsidRDefault="00C636F6">
            <w:pPr>
              <w:spacing w:after="0" w:line="240" w:lineRule="auto"/>
              <w:rPr>
                <w:rFonts w:ascii="Times New Roman" w:eastAsiaTheme="minorHAnsi" w:hAnsi="Times New Roman"/>
                <w:sz w:val="20"/>
                <w:szCs w:val="24"/>
                <w:lang w:val="en-US"/>
              </w:rPr>
            </w:pPr>
            <w:r w:rsidRPr="005368D6">
              <w:rPr>
                <w:rFonts w:ascii="Times New Roman" w:hAnsi="Times New Roman"/>
                <w:sz w:val="20"/>
                <w:szCs w:val="24"/>
                <w:lang w:val="en-US"/>
              </w:rPr>
              <w:t>The course consists of lectures (42 hours) and seminars (42 hours). During the seminars the students will discuss assigned readings (both primary sources and secondary literature), will learn to lead the discussion and take minutes</w:t>
            </w:r>
          </w:p>
        </w:tc>
      </w:tr>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Indicative Assessment Methods and Strategy</w:t>
            </w:r>
          </w:p>
        </w:tc>
        <w:tc>
          <w:tcPr>
            <w:tcW w:w="89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368D6" w:rsidRDefault="007766FD" w:rsidP="00D91C21">
            <w:pPr>
              <w:tabs>
                <w:tab w:val="num" w:pos="720"/>
              </w:tabs>
              <w:rPr>
                <w:rFonts w:ascii="Times New Roman" w:eastAsiaTheme="minorHAnsi" w:hAnsi="Times New Roman"/>
                <w:sz w:val="20"/>
                <w:szCs w:val="24"/>
                <w:lang w:val="en-US"/>
              </w:rPr>
            </w:pPr>
            <w:r w:rsidRPr="005368D6">
              <w:rPr>
                <w:rFonts w:ascii="Times New Roman" w:eastAsiaTheme="minorHAnsi" w:hAnsi="Times New Roman"/>
                <w:sz w:val="20"/>
                <w:szCs w:val="24"/>
                <w:lang w:val="en-GB"/>
              </w:rPr>
              <w:t>Seminars - 50%</w:t>
            </w:r>
            <w:r w:rsidR="00D91C21" w:rsidRPr="005368D6">
              <w:rPr>
                <w:rFonts w:ascii="Times New Roman" w:eastAsiaTheme="minorHAnsi" w:hAnsi="Times New Roman"/>
                <w:sz w:val="20"/>
                <w:szCs w:val="24"/>
                <w:lang w:val="en-GB"/>
              </w:rPr>
              <w:t xml:space="preserve">; </w:t>
            </w:r>
            <w:r w:rsidRPr="005368D6">
              <w:rPr>
                <w:rFonts w:ascii="Times New Roman" w:eastAsiaTheme="minorHAnsi" w:hAnsi="Times New Roman"/>
                <w:sz w:val="20"/>
                <w:szCs w:val="24"/>
                <w:lang w:val="en-GB"/>
              </w:rPr>
              <w:t>Written assignme</w:t>
            </w:r>
            <w:r w:rsidR="00D91C21" w:rsidRPr="005368D6">
              <w:rPr>
                <w:rFonts w:ascii="Times New Roman" w:eastAsiaTheme="minorHAnsi" w:hAnsi="Times New Roman"/>
                <w:sz w:val="20"/>
                <w:szCs w:val="24"/>
                <w:lang w:val="en-GB"/>
              </w:rPr>
              <w:t xml:space="preserve">nt (minutes of a seminar, 1000-1500 words) – 20%; </w:t>
            </w:r>
            <w:r w:rsidRPr="005368D6">
              <w:rPr>
                <w:rFonts w:ascii="Times New Roman" w:eastAsiaTheme="minorHAnsi" w:hAnsi="Times New Roman"/>
                <w:sz w:val="20"/>
                <w:szCs w:val="24"/>
                <w:lang w:val="en-GB"/>
              </w:rPr>
              <w:t>3 quizzes – 10% each</w:t>
            </w:r>
            <w:r w:rsidR="00D91C21" w:rsidRPr="005368D6">
              <w:rPr>
                <w:rFonts w:ascii="Times New Roman" w:eastAsiaTheme="minorHAnsi" w:hAnsi="Times New Roman"/>
                <w:sz w:val="20"/>
                <w:szCs w:val="24"/>
                <w:lang w:val="en-GB"/>
              </w:rPr>
              <w:t xml:space="preserve">. ORAL EXAM - based on a list of questions, which are known in advance. Students pull out tickets with a single question. 30 minutes for preparation. Students can consult their notes.  Only those students whose accumulated grade is below 4 points are required to take the exam. Final grade for those students who take the exam: Exam – 40%; Accumulated grade – 60% </w:t>
            </w:r>
          </w:p>
        </w:tc>
      </w:tr>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5368D6" w:rsidRDefault="00360ED6">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 xml:space="preserve">Readings / </w:t>
            </w:r>
            <w:r w:rsidR="00C42A27" w:rsidRPr="005368D6">
              <w:rPr>
                <w:rFonts w:ascii="Times New Roman" w:eastAsiaTheme="minorHAnsi" w:hAnsi="Times New Roman"/>
                <w:sz w:val="20"/>
                <w:szCs w:val="24"/>
                <w:lang w:val="en-US"/>
              </w:rPr>
              <w:t>Indicative Learning Resources</w:t>
            </w:r>
          </w:p>
          <w:p w:rsidR="00C42A27" w:rsidRPr="005368D6" w:rsidRDefault="00C42A27">
            <w:pPr>
              <w:spacing w:after="0" w:line="240" w:lineRule="auto"/>
              <w:rPr>
                <w:rFonts w:ascii="Times New Roman" w:eastAsiaTheme="minorHAnsi" w:hAnsi="Times New Roman"/>
                <w:sz w:val="20"/>
                <w:szCs w:val="24"/>
                <w:lang w:val="en-US"/>
              </w:rPr>
            </w:pPr>
          </w:p>
        </w:tc>
        <w:tc>
          <w:tcPr>
            <w:tcW w:w="89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368D6" w:rsidRDefault="00C42A27">
            <w:pPr>
              <w:spacing w:after="0" w:line="240" w:lineRule="auto"/>
              <w:rPr>
                <w:rFonts w:ascii="Times New Roman" w:eastAsiaTheme="minorHAnsi" w:hAnsi="Times New Roman"/>
                <w:sz w:val="20"/>
                <w:szCs w:val="24"/>
                <w:u w:val="single"/>
                <w:lang w:val="en-GB"/>
              </w:rPr>
            </w:pPr>
            <w:r w:rsidRPr="005368D6">
              <w:rPr>
                <w:rFonts w:ascii="Times New Roman" w:eastAsiaTheme="minorHAnsi" w:hAnsi="Times New Roman"/>
                <w:sz w:val="20"/>
                <w:szCs w:val="24"/>
                <w:u w:val="single"/>
                <w:lang w:val="en-US"/>
              </w:rPr>
              <w:t>Mandatory</w:t>
            </w:r>
            <w:r w:rsidR="00D91C21" w:rsidRPr="005368D6">
              <w:rPr>
                <w:rFonts w:ascii="Times New Roman" w:eastAsiaTheme="minorHAnsi" w:hAnsi="Times New Roman"/>
                <w:sz w:val="20"/>
                <w:szCs w:val="24"/>
                <w:u w:val="single"/>
                <w:lang w:val="en-US"/>
              </w:rPr>
              <w:t>:</w:t>
            </w:r>
            <w:r w:rsidRPr="005368D6">
              <w:rPr>
                <w:rFonts w:ascii="Times New Roman" w:eastAsiaTheme="minorHAnsi" w:hAnsi="Times New Roman"/>
                <w:sz w:val="20"/>
                <w:szCs w:val="24"/>
                <w:u w:val="single"/>
                <w:lang w:val="en-US"/>
              </w:rPr>
              <w:t xml:space="preserve"> </w:t>
            </w:r>
            <w:proofErr w:type="spellStart"/>
            <w:r w:rsidR="00D91C21" w:rsidRPr="005368D6">
              <w:rPr>
                <w:rFonts w:ascii="Times New Roman" w:hAnsi="Times New Roman"/>
                <w:sz w:val="20"/>
                <w:szCs w:val="24"/>
                <w:lang w:val="en-US"/>
              </w:rPr>
              <w:t>Kamen</w:t>
            </w:r>
            <w:proofErr w:type="spellEnd"/>
            <w:r w:rsidR="00D91C21" w:rsidRPr="005368D6">
              <w:rPr>
                <w:rFonts w:ascii="Times New Roman" w:hAnsi="Times New Roman"/>
                <w:sz w:val="20"/>
                <w:szCs w:val="24"/>
                <w:lang w:val="en-US"/>
              </w:rPr>
              <w:t xml:space="preserve"> H. </w:t>
            </w:r>
            <w:r w:rsidR="00D91C21" w:rsidRPr="005368D6">
              <w:rPr>
                <w:rFonts w:ascii="Times New Roman" w:hAnsi="Times New Roman"/>
                <w:i/>
                <w:sz w:val="20"/>
                <w:szCs w:val="24"/>
                <w:lang w:val="en-US"/>
              </w:rPr>
              <w:t>Early modern European society</w:t>
            </w:r>
            <w:r w:rsidR="00D91C21" w:rsidRPr="005368D6">
              <w:rPr>
                <w:rFonts w:ascii="Times New Roman" w:hAnsi="Times New Roman"/>
                <w:sz w:val="20"/>
                <w:szCs w:val="24"/>
                <w:lang w:val="en-US"/>
              </w:rPr>
              <w:t xml:space="preserve">. London: New York: Routledge, 2000 (selected chapters); Berger S. (ed.) </w:t>
            </w:r>
            <w:r w:rsidR="00D91C21" w:rsidRPr="005368D6">
              <w:rPr>
                <w:rFonts w:ascii="Times New Roman" w:hAnsi="Times New Roman"/>
                <w:i/>
                <w:sz w:val="20"/>
                <w:szCs w:val="24"/>
                <w:lang w:val="en-US"/>
              </w:rPr>
              <w:t>A Companion to Nineteenth-Century Europe: 1789-1914</w:t>
            </w:r>
            <w:r w:rsidR="00D91C21" w:rsidRPr="005368D6">
              <w:rPr>
                <w:rFonts w:ascii="Times New Roman" w:hAnsi="Times New Roman"/>
                <w:sz w:val="20"/>
                <w:szCs w:val="24"/>
                <w:lang w:val="en-US"/>
              </w:rPr>
              <w:t xml:space="preserve">. Malden, Mass.; Oxford: Blackwell, 2006 (selected chapters); </w:t>
            </w:r>
            <w:proofErr w:type="spellStart"/>
            <w:r w:rsidR="00D91C21" w:rsidRPr="005368D6">
              <w:rPr>
                <w:rFonts w:ascii="Times New Roman" w:hAnsi="Times New Roman"/>
                <w:sz w:val="20"/>
                <w:szCs w:val="24"/>
                <w:lang w:val="en-US"/>
              </w:rPr>
              <w:t>Tomka</w:t>
            </w:r>
            <w:proofErr w:type="spellEnd"/>
            <w:r w:rsidR="00D91C21" w:rsidRPr="005368D6">
              <w:rPr>
                <w:rFonts w:ascii="Times New Roman" w:hAnsi="Times New Roman"/>
                <w:sz w:val="20"/>
                <w:szCs w:val="24"/>
                <w:lang w:val="en-US"/>
              </w:rPr>
              <w:t xml:space="preserve"> B. </w:t>
            </w:r>
            <w:r w:rsidR="00D91C21" w:rsidRPr="005368D6">
              <w:rPr>
                <w:rFonts w:ascii="Times New Roman" w:hAnsi="Times New Roman"/>
                <w:i/>
                <w:sz w:val="20"/>
                <w:szCs w:val="24"/>
                <w:lang w:val="en-US"/>
              </w:rPr>
              <w:t>A social history of twentieth-century Europe.</w:t>
            </w:r>
            <w:r w:rsidR="00D91C21" w:rsidRPr="005368D6">
              <w:rPr>
                <w:rFonts w:ascii="Times New Roman" w:hAnsi="Times New Roman"/>
                <w:sz w:val="20"/>
                <w:szCs w:val="24"/>
                <w:lang w:val="en-US"/>
              </w:rPr>
              <w:t xml:space="preserve"> New York: Routledge, 2013 (selected chapters)</w:t>
            </w:r>
          </w:p>
          <w:p w:rsidR="00C42A27" w:rsidRPr="005368D6" w:rsidRDefault="00C42A27">
            <w:pPr>
              <w:spacing w:after="0" w:line="240" w:lineRule="auto"/>
              <w:rPr>
                <w:rFonts w:ascii="Times New Roman" w:eastAsiaTheme="minorHAnsi" w:hAnsi="Times New Roman"/>
                <w:sz w:val="20"/>
                <w:szCs w:val="24"/>
                <w:lang w:val="en-US"/>
              </w:rPr>
            </w:pPr>
          </w:p>
          <w:p w:rsidR="00C42A27" w:rsidRPr="005368D6" w:rsidRDefault="00C42A27" w:rsidP="00D91C21">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u w:val="single"/>
                <w:lang w:val="en-US"/>
              </w:rPr>
              <w:t>Optional</w:t>
            </w:r>
            <w:r w:rsidR="00D91C21" w:rsidRPr="005368D6">
              <w:rPr>
                <w:rFonts w:ascii="Times New Roman" w:eastAsiaTheme="minorHAnsi" w:hAnsi="Times New Roman"/>
                <w:sz w:val="20"/>
                <w:szCs w:val="24"/>
                <w:u w:val="single"/>
                <w:lang w:val="en-US"/>
              </w:rPr>
              <w:t>:</w:t>
            </w:r>
            <w:r w:rsidRPr="005368D6">
              <w:rPr>
                <w:rFonts w:ascii="Times New Roman" w:eastAsiaTheme="minorHAnsi" w:hAnsi="Times New Roman"/>
                <w:sz w:val="20"/>
                <w:szCs w:val="24"/>
                <w:u w:val="single"/>
                <w:lang w:val="en-US"/>
              </w:rPr>
              <w:t xml:space="preserve"> </w:t>
            </w:r>
            <w:proofErr w:type="spellStart"/>
            <w:r w:rsidR="00D91C21" w:rsidRPr="005368D6">
              <w:rPr>
                <w:rFonts w:ascii="Times New Roman" w:hAnsi="Times New Roman"/>
                <w:sz w:val="20"/>
                <w:szCs w:val="24"/>
                <w:lang w:val="en-US"/>
              </w:rPr>
              <w:t>Blanning</w:t>
            </w:r>
            <w:proofErr w:type="spellEnd"/>
            <w:r w:rsidR="00D91C21" w:rsidRPr="005368D6">
              <w:rPr>
                <w:rFonts w:ascii="Times New Roman" w:hAnsi="Times New Roman"/>
                <w:sz w:val="20"/>
                <w:szCs w:val="24"/>
                <w:lang w:val="en-US"/>
              </w:rPr>
              <w:t xml:space="preserve"> T.C.W. (ed.). </w:t>
            </w:r>
            <w:r w:rsidR="00D91C21" w:rsidRPr="005368D6">
              <w:rPr>
                <w:rFonts w:ascii="Times New Roman" w:hAnsi="Times New Roman"/>
                <w:i/>
                <w:sz w:val="20"/>
                <w:szCs w:val="24"/>
                <w:lang w:val="en-US"/>
              </w:rPr>
              <w:t>The Oxford history of modern Europe</w:t>
            </w:r>
            <w:r w:rsidR="00D91C21" w:rsidRPr="005368D6">
              <w:rPr>
                <w:rFonts w:ascii="Times New Roman" w:hAnsi="Times New Roman"/>
                <w:sz w:val="20"/>
                <w:szCs w:val="24"/>
                <w:lang w:val="en-US"/>
              </w:rPr>
              <w:t xml:space="preserve">. Oxford: Oxford University Press, 2000; Cameron E. </w:t>
            </w:r>
            <w:r w:rsidR="00D91C21" w:rsidRPr="005368D6">
              <w:rPr>
                <w:rFonts w:ascii="Times New Roman" w:hAnsi="Times New Roman"/>
                <w:i/>
                <w:sz w:val="20"/>
                <w:szCs w:val="24"/>
                <w:lang w:val="en-US"/>
              </w:rPr>
              <w:t>The short Oxford history of Europe: sixteenth century</w:t>
            </w:r>
            <w:r w:rsidR="00D91C21" w:rsidRPr="005368D6">
              <w:rPr>
                <w:rFonts w:ascii="Times New Roman" w:hAnsi="Times New Roman"/>
                <w:sz w:val="20"/>
                <w:szCs w:val="24"/>
                <w:lang w:val="en-US"/>
              </w:rPr>
              <w:t xml:space="preserve">. Oxford: Oxford University Press, 2006; Huppert G. </w:t>
            </w:r>
            <w:r w:rsidR="00D91C21" w:rsidRPr="005368D6">
              <w:rPr>
                <w:rFonts w:ascii="Times New Roman" w:hAnsi="Times New Roman"/>
                <w:i/>
                <w:sz w:val="20"/>
                <w:szCs w:val="24"/>
                <w:lang w:val="en-US"/>
              </w:rPr>
              <w:t>After the Black Death: a social history of early modern Europe</w:t>
            </w:r>
            <w:r w:rsidR="00D91C21" w:rsidRPr="005368D6">
              <w:rPr>
                <w:rFonts w:ascii="Times New Roman" w:hAnsi="Times New Roman"/>
                <w:sz w:val="20"/>
                <w:szCs w:val="24"/>
                <w:lang w:val="en-US"/>
              </w:rPr>
              <w:t xml:space="preserve">. Bloomington: Indiana University Press, 1998; </w:t>
            </w:r>
            <w:proofErr w:type="spellStart"/>
            <w:r w:rsidR="00D91C21" w:rsidRPr="005368D6">
              <w:rPr>
                <w:rFonts w:ascii="Times New Roman" w:hAnsi="Times New Roman"/>
                <w:sz w:val="20"/>
                <w:szCs w:val="24"/>
                <w:lang w:val="en-US"/>
              </w:rPr>
              <w:t>Judt</w:t>
            </w:r>
            <w:proofErr w:type="spellEnd"/>
            <w:r w:rsidR="00D91C21" w:rsidRPr="005368D6">
              <w:rPr>
                <w:rFonts w:ascii="Times New Roman" w:hAnsi="Times New Roman"/>
                <w:sz w:val="20"/>
                <w:szCs w:val="24"/>
                <w:lang w:val="en-US"/>
              </w:rPr>
              <w:t xml:space="preserve"> T. </w:t>
            </w:r>
            <w:r w:rsidR="00D91C21" w:rsidRPr="005368D6">
              <w:rPr>
                <w:rFonts w:ascii="Times New Roman" w:hAnsi="Times New Roman"/>
                <w:i/>
                <w:sz w:val="20"/>
                <w:szCs w:val="24"/>
                <w:lang w:val="en-US"/>
              </w:rPr>
              <w:t>Postwar: a history of Europe since 1945</w:t>
            </w:r>
            <w:r w:rsidR="00D91C21" w:rsidRPr="005368D6">
              <w:rPr>
                <w:rFonts w:ascii="Times New Roman" w:hAnsi="Times New Roman"/>
                <w:sz w:val="20"/>
                <w:szCs w:val="24"/>
                <w:lang w:val="en-US"/>
              </w:rPr>
              <w:t xml:space="preserve">. </w:t>
            </w:r>
            <w:r w:rsidR="00D91C21" w:rsidRPr="005368D6">
              <w:rPr>
                <w:rFonts w:ascii="Times New Roman" w:hAnsi="Times New Roman"/>
                <w:sz w:val="20"/>
                <w:szCs w:val="24"/>
                <w:lang w:val="en-GB"/>
              </w:rPr>
              <w:t xml:space="preserve">London: Heinemann, 2005; </w:t>
            </w:r>
            <w:proofErr w:type="spellStart"/>
            <w:r w:rsidR="00D91C21" w:rsidRPr="005368D6">
              <w:rPr>
                <w:rFonts w:ascii="Times New Roman" w:hAnsi="Times New Roman"/>
                <w:sz w:val="20"/>
                <w:szCs w:val="24"/>
                <w:lang w:val="en-US"/>
              </w:rPr>
              <w:t>Munck</w:t>
            </w:r>
            <w:proofErr w:type="spellEnd"/>
            <w:r w:rsidR="00D91C21" w:rsidRPr="005368D6">
              <w:rPr>
                <w:rFonts w:ascii="Times New Roman" w:hAnsi="Times New Roman"/>
                <w:sz w:val="20"/>
                <w:szCs w:val="24"/>
                <w:lang w:val="en-US"/>
              </w:rPr>
              <w:t xml:space="preserve"> T. </w:t>
            </w:r>
            <w:r w:rsidR="00D91C21" w:rsidRPr="005368D6">
              <w:rPr>
                <w:rFonts w:ascii="Times New Roman" w:hAnsi="Times New Roman"/>
                <w:i/>
                <w:sz w:val="20"/>
                <w:szCs w:val="24"/>
                <w:lang w:val="en-US"/>
              </w:rPr>
              <w:t>Seventeenth century Europe: state, conflict, and the social order in Europe, 1598–1700</w:t>
            </w:r>
            <w:r w:rsidR="00D91C21" w:rsidRPr="005368D6">
              <w:rPr>
                <w:rFonts w:ascii="Times New Roman" w:hAnsi="Times New Roman"/>
                <w:sz w:val="20"/>
                <w:szCs w:val="24"/>
                <w:lang w:val="en-US"/>
              </w:rPr>
              <w:t xml:space="preserve">. Basingstoke: Palgrave Macmillan, 2005; </w:t>
            </w:r>
            <w:proofErr w:type="spellStart"/>
            <w:r w:rsidR="00D91C21" w:rsidRPr="005368D6">
              <w:rPr>
                <w:rFonts w:ascii="Times New Roman" w:hAnsi="Times New Roman"/>
                <w:sz w:val="20"/>
                <w:szCs w:val="24"/>
                <w:lang w:val="en-US"/>
              </w:rPr>
              <w:t>Munck</w:t>
            </w:r>
            <w:proofErr w:type="spellEnd"/>
            <w:r w:rsidR="00D91C21" w:rsidRPr="005368D6">
              <w:rPr>
                <w:rFonts w:ascii="Times New Roman" w:hAnsi="Times New Roman"/>
                <w:sz w:val="20"/>
                <w:szCs w:val="24"/>
                <w:lang w:val="en-US"/>
              </w:rPr>
              <w:t xml:space="preserve"> T. </w:t>
            </w:r>
            <w:r w:rsidR="00D91C21" w:rsidRPr="005368D6">
              <w:rPr>
                <w:rFonts w:ascii="Times New Roman" w:hAnsi="Times New Roman"/>
                <w:i/>
                <w:sz w:val="20"/>
                <w:szCs w:val="24"/>
                <w:lang w:val="en-US"/>
              </w:rPr>
              <w:t>The Enlightenment: a comparative social history 1721-1794</w:t>
            </w:r>
            <w:r w:rsidR="00D91C21" w:rsidRPr="005368D6">
              <w:rPr>
                <w:rFonts w:ascii="Times New Roman" w:hAnsi="Times New Roman"/>
                <w:sz w:val="20"/>
                <w:szCs w:val="24"/>
                <w:lang w:val="en-US"/>
              </w:rPr>
              <w:t xml:space="preserve">. London: Arnold, 2000; </w:t>
            </w:r>
            <w:proofErr w:type="spellStart"/>
            <w:r w:rsidR="00D91C21" w:rsidRPr="005368D6">
              <w:rPr>
                <w:rFonts w:ascii="Times New Roman" w:hAnsi="Times New Roman"/>
                <w:sz w:val="20"/>
                <w:szCs w:val="24"/>
                <w:lang w:val="en-US"/>
              </w:rPr>
              <w:t>Pilbeam</w:t>
            </w:r>
            <w:proofErr w:type="spellEnd"/>
            <w:r w:rsidR="00D91C21" w:rsidRPr="005368D6">
              <w:rPr>
                <w:rFonts w:ascii="Times New Roman" w:hAnsi="Times New Roman"/>
                <w:sz w:val="20"/>
                <w:szCs w:val="24"/>
                <w:lang w:val="en-US"/>
              </w:rPr>
              <w:t xml:space="preserve"> P. (ed.). </w:t>
            </w:r>
            <w:r w:rsidR="00D91C21" w:rsidRPr="005368D6">
              <w:rPr>
                <w:rFonts w:ascii="Times New Roman" w:hAnsi="Times New Roman"/>
                <w:i/>
                <w:sz w:val="20"/>
                <w:szCs w:val="24"/>
                <w:lang w:val="en-US"/>
              </w:rPr>
              <w:t>Themes in modern European history 1780-1830</w:t>
            </w:r>
            <w:r w:rsidR="00D91C21" w:rsidRPr="005368D6">
              <w:rPr>
                <w:rFonts w:ascii="Times New Roman" w:hAnsi="Times New Roman"/>
                <w:sz w:val="20"/>
                <w:szCs w:val="24"/>
                <w:lang w:val="en-US"/>
              </w:rPr>
              <w:t xml:space="preserve">. London: Routledge, 1995; </w:t>
            </w:r>
            <w:proofErr w:type="spellStart"/>
            <w:r w:rsidR="00D91C21" w:rsidRPr="005368D6">
              <w:rPr>
                <w:rFonts w:ascii="Times New Roman" w:hAnsi="Times New Roman"/>
                <w:sz w:val="20"/>
                <w:szCs w:val="24"/>
                <w:lang w:val="en-US"/>
              </w:rPr>
              <w:t>Kaelble</w:t>
            </w:r>
            <w:proofErr w:type="spellEnd"/>
            <w:r w:rsidR="00D91C21" w:rsidRPr="005368D6">
              <w:rPr>
                <w:rFonts w:ascii="Times New Roman" w:hAnsi="Times New Roman"/>
                <w:sz w:val="20"/>
                <w:szCs w:val="24"/>
                <w:lang w:val="en-US"/>
              </w:rPr>
              <w:t xml:space="preserve"> H. </w:t>
            </w:r>
            <w:r w:rsidR="00D91C21" w:rsidRPr="005368D6">
              <w:rPr>
                <w:rFonts w:ascii="Times New Roman" w:hAnsi="Times New Roman"/>
                <w:i/>
                <w:sz w:val="20"/>
                <w:szCs w:val="24"/>
                <w:lang w:val="en-US"/>
              </w:rPr>
              <w:t>The social history of Europe, 1945-2000: recovery and transformation after two World Wars</w:t>
            </w:r>
            <w:r w:rsidR="00D91C21" w:rsidRPr="005368D6">
              <w:rPr>
                <w:rFonts w:ascii="Times New Roman" w:hAnsi="Times New Roman"/>
                <w:sz w:val="20"/>
                <w:szCs w:val="24"/>
                <w:lang w:val="en-US"/>
              </w:rPr>
              <w:t xml:space="preserve">. New York: </w:t>
            </w:r>
            <w:proofErr w:type="spellStart"/>
            <w:r w:rsidR="00D91C21" w:rsidRPr="005368D6">
              <w:rPr>
                <w:rFonts w:ascii="Times New Roman" w:hAnsi="Times New Roman"/>
                <w:sz w:val="20"/>
                <w:szCs w:val="24"/>
                <w:lang w:val="en-US"/>
              </w:rPr>
              <w:t>Berghahan</w:t>
            </w:r>
            <w:proofErr w:type="spellEnd"/>
            <w:r w:rsidR="00D91C21" w:rsidRPr="005368D6">
              <w:rPr>
                <w:rFonts w:ascii="Times New Roman" w:hAnsi="Times New Roman"/>
                <w:sz w:val="20"/>
                <w:szCs w:val="24"/>
                <w:lang w:val="en-US"/>
              </w:rPr>
              <w:t xml:space="preserve"> Books, 2011</w:t>
            </w:r>
          </w:p>
        </w:tc>
      </w:tr>
      <w:tr w:rsidR="00C42A27" w:rsidRPr="005368D6" w:rsidTr="005368D6">
        <w:tc>
          <w:tcPr>
            <w:tcW w:w="1844"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5368D6" w:rsidRDefault="00C42A27">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Course Instructor</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5368D6" w:rsidRDefault="00D91C21">
            <w:pPr>
              <w:spacing w:after="0" w:line="240" w:lineRule="auto"/>
              <w:rPr>
                <w:rFonts w:ascii="Times New Roman" w:eastAsiaTheme="minorHAnsi" w:hAnsi="Times New Roman"/>
                <w:sz w:val="20"/>
                <w:szCs w:val="24"/>
                <w:lang w:val="en-US"/>
              </w:rPr>
            </w:pPr>
            <w:r w:rsidRPr="005368D6">
              <w:rPr>
                <w:rFonts w:ascii="Times New Roman" w:eastAsiaTheme="minorHAnsi" w:hAnsi="Times New Roman"/>
                <w:sz w:val="20"/>
                <w:szCs w:val="24"/>
                <w:lang w:val="en-US"/>
              </w:rPr>
              <w:t xml:space="preserve">Associate Professor  Marina </w:t>
            </w:r>
            <w:proofErr w:type="spellStart"/>
            <w:r w:rsidRPr="005368D6">
              <w:rPr>
                <w:rFonts w:ascii="Times New Roman" w:eastAsiaTheme="minorHAnsi" w:hAnsi="Times New Roman"/>
                <w:sz w:val="20"/>
                <w:szCs w:val="24"/>
                <w:lang w:val="en-US"/>
              </w:rPr>
              <w:t>Loskutova</w:t>
            </w:r>
            <w:proofErr w:type="spellEnd"/>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5368D6">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B6" w:rsidRDefault="00B90EB6" w:rsidP="00F31F02">
      <w:pPr>
        <w:spacing w:after="0" w:line="240" w:lineRule="auto"/>
      </w:pPr>
      <w:r>
        <w:separator/>
      </w:r>
    </w:p>
  </w:endnote>
  <w:endnote w:type="continuationSeparator" w:id="0">
    <w:p w:rsidR="00B90EB6" w:rsidRDefault="00B90EB6"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B6" w:rsidRDefault="00B90EB6" w:rsidP="00F31F02">
      <w:pPr>
        <w:spacing w:after="0" w:line="240" w:lineRule="auto"/>
      </w:pPr>
      <w:r>
        <w:separator/>
      </w:r>
    </w:p>
  </w:footnote>
  <w:footnote w:type="continuationSeparator" w:id="0">
    <w:p w:rsidR="00B90EB6" w:rsidRDefault="00B90EB6"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D"/>
    <w:multiLevelType w:val="hybridMultilevel"/>
    <w:tmpl w:val="75D6F646"/>
    <w:lvl w:ilvl="0" w:tplc="688ADBA0">
      <w:start w:val="1"/>
      <w:numFmt w:val="bullet"/>
      <w:lvlText w:val="•"/>
      <w:lvlJc w:val="left"/>
      <w:pPr>
        <w:tabs>
          <w:tab w:val="num" w:pos="720"/>
        </w:tabs>
        <w:ind w:left="720" w:hanging="360"/>
      </w:pPr>
      <w:rPr>
        <w:rFonts w:ascii="Arial" w:hAnsi="Arial" w:hint="default"/>
      </w:rPr>
    </w:lvl>
    <w:lvl w:ilvl="1" w:tplc="034A860E" w:tentative="1">
      <w:start w:val="1"/>
      <w:numFmt w:val="bullet"/>
      <w:lvlText w:val="•"/>
      <w:lvlJc w:val="left"/>
      <w:pPr>
        <w:tabs>
          <w:tab w:val="num" w:pos="1440"/>
        </w:tabs>
        <w:ind w:left="1440" w:hanging="360"/>
      </w:pPr>
      <w:rPr>
        <w:rFonts w:ascii="Arial" w:hAnsi="Arial" w:hint="default"/>
      </w:rPr>
    </w:lvl>
    <w:lvl w:ilvl="2" w:tplc="3E68A4BE" w:tentative="1">
      <w:start w:val="1"/>
      <w:numFmt w:val="bullet"/>
      <w:lvlText w:val="•"/>
      <w:lvlJc w:val="left"/>
      <w:pPr>
        <w:tabs>
          <w:tab w:val="num" w:pos="2160"/>
        </w:tabs>
        <w:ind w:left="2160" w:hanging="360"/>
      </w:pPr>
      <w:rPr>
        <w:rFonts w:ascii="Arial" w:hAnsi="Arial" w:hint="default"/>
      </w:rPr>
    </w:lvl>
    <w:lvl w:ilvl="3" w:tplc="813EA548" w:tentative="1">
      <w:start w:val="1"/>
      <w:numFmt w:val="bullet"/>
      <w:lvlText w:val="•"/>
      <w:lvlJc w:val="left"/>
      <w:pPr>
        <w:tabs>
          <w:tab w:val="num" w:pos="2880"/>
        </w:tabs>
        <w:ind w:left="2880" w:hanging="360"/>
      </w:pPr>
      <w:rPr>
        <w:rFonts w:ascii="Arial" w:hAnsi="Arial" w:hint="default"/>
      </w:rPr>
    </w:lvl>
    <w:lvl w:ilvl="4" w:tplc="59C08ED8" w:tentative="1">
      <w:start w:val="1"/>
      <w:numFmt w:val="bullet"/>
      <w:lvlText w:val="•"/>
      <w:lvlJc w:val="left"/>
      <w:pPr>
        <w:tabs>
          <w:tab w:val="num" w:pos="3600"/>
        </w:tabs>
        <w:ind w:left="3600" w:hanging="360"/>
      </w:pPr>
      <w:rPr>
        <w:rFonts w:ascii="Arial" w:hAnsi="Arial" w:hint="default"/>
      </w:rPr>
    </w:lvl>
    <w:lvl w:ilvl="5" w:tplc="A0020856" w:tentative="1">
      <w:start w:val="1"/>
      <w:numFmt w:val="bullet"/>
      <w:lvlText w:val="•"/>
      <w:lvlJc w:val="left"/>
      <w:pPr>
        <w:tabs>
          <w:tab w:val="num" w:pos="4320"/>
        </w:tabs>
        <w:ind w:left="4320" w:hanging="360"/>
      </w:pPr>
      <w:rPr>
        <w:rFonts w:ascii="Arial" w:hAnsi="Arial" w:hint="default"/>
      </w:rPr>
    </w:lvl>
    <w:lvl w:ilvl="6" w:tplc="21647538" w:tentative="1">
      <w:start w:val="1"/>
      <w:numFmt w:val="bullet"/>
      <w:lvlText w:val="•"/>
      <w:lvlJc w:val="left"/>
      <w:pPr>
        <w:tabs>
          <w:tab w:val="num" w:pos="5040"/>
        </w:tabs>
        <w:ind w:left="5040" w:hanging="360"/>
      </w:pPr>
      <w:rPr>
        <w:rFonts w:ascii="Arial" w:hAnsi="Arial" w:hint="default"/>
      </w:rPr>
    </w:lvl>
    <w:lvl w:ilvl="7" w:tplc="68EE02FA" w:tentative="1">
      <w:start w:val="1"/>
      <w:numFmt w:val="bullet"/>
      <w:lvlText w:val="•"/>
      <w:lvlJc w:val="left"/>
      <w:pPr>
        <w:tabs>
          <w:tab w:val="num" w:pos="5760"/>
        </w:tabs>
        <w:ind w:left="5760" w:hanging="360"/>
      </w:pPr>
      <w:rPr>
        <w:rFonts w:ascii="Arial" w:hAnsi="Arial" w:hint="default"/>
      </w:rPr>
    </w:lvl>
    <w:lvl w:ilvl="8" w:tplc="AC863830" w:tentative="1">
      <w:start w:val="1"/>
      <w:numFmt w:val="bullet"/>
      <w:lvlText w:val="•"/>
      <w:lvlJc w:val="left"/>
      <w:pPr>
        <w:tabs>
          <w:tab w:val="num" w:pos="6480"/>
        </w:tabs>
        <w:ind w:left="6480" w:hanging="360"/>
      </w:pPr>
      <w:rPr>
        <w:rFonts w:ascii="Arial" w:hAnsi="Arial" w:hint="default"/>
      </w:rPr>
    </w:lvl>
  </w:abstractNum>
  <w:abstractNum w:abstractNumId="1">
    <w:nsid w:val="158376A8"/>
    <w:multiLevelType w:val="hybridMultilevel"/>
    <w:tmpl w:val="CACA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nsid w:val="6C461311"/>
    <w:multiLevelType w:val="hybridMultilevel"/>
    <w:tmpl w:val="6ED0C042"/>
    <w:lvl w:ilvl="0" w:tplc="18C8F640">
      <w:start w:val="1"/>
      <w:numFmt w:val="bullet"/>
      <w:lvlText w:val="•"/>
      <w:lvlJc w:val="left"/>
      <w:pPr>
        <w:tabs>
          <w:tab w:val="num" w:pos="720"/>
        </w:tabs>
        <w:ind w:left="720" w:hanging="360"/>
      </w:pPr>
      <w:rPr>
        <w:rFonts w:ascii="Arial" w:hAnsi="Arial" w:hint="default"/>
      </w:rPr>
    </w:lvl>
    <w:lvl w:ilvl="1" w:tplc="858E332E" w:tentative="1">
      <w:start w:val="1"/>
      <w:numFmt w:val="bullet"/>
      <w:lvlText w:val="•"/>
      <w:lvlJc w:val="left"/>
      <w:pPr>
        <w:tabs>
          <w:tab w:val="num" w:pos="1440"/>
        </w:tabs>
        <w:ind w:left="1440" w:hanging="360"/>
      </w:pPr>
      <w:rPr>
        <w:rFonts w:ascii="Arial" w:hAnsi="Arial" w:hint="default"/>
      </w:rPr>
    </w:lvl>
    <w:lvl w:ilvl="2" w:tplc="C8FAB51E" w:tentative="1">
      <w:start w:val="1"/>
      <w:numFmt w:val="bullet"/>
      <w:lvlText w:val="•"/>
      <w:lvlJc w:val="left"/>
      <w:pPr>
        <w:tabs>
          <w:tab w:val="num" w:pos="2160"/>
        </w:tabs>
        <w:ind w:left="2160" w:hanging="360"/>
      </w:pPr>
      <w:rPr>
        <w:rFonts w:ascii="Arial" w:hAnsi="Arial" w:hint="default"/>
      </w:rPr>
    </w:lvl>
    <w:lvl w:ilvl="3" w:tplc="F54AB32C" w:tentative="1">
      <w:start w:val="1"/>
      <w:numFmt w:val="bullet"/>
      <w:lvlText w:val="•"/>
      <w:lvlJc w:val="left"/>
      <w:pPr>
        <w:tabs>
          <w:tab w:val="num" w:pos="2880"/>
        </w:tabs>
        <w:ind w:left="2880" w:hanging="360"/>
      </w:pPr>
      <w:rPr>
        <w:rFonts w:ascii="Arial" w:hAnsi="Arial" w:hint="default"/>
      </w:rPr>
    </w:lvl>
    <w:lvl w:ilvl="4" w:tplc="272AB9D0" w:tentative="1">
      <w:start w:val="1"/>
      <w:numFmt w:val="bullet"/>
      <w:lvlText w:val="•"/>
      <w:lvlJc w:val="left"/>
      <w:pPr>
        <w:tabs>
          <w:tab w:val="num" w:pos="3600"/>
        </w:tabs>
        <w:ind w:left="3600" w:hanging="360"/>
      </w:pPr>
      <w:rPr>
        <w:rFonts w:ascii="Arial" w:hAnsi="Arial" w:hint="default"/>
      </w:rPr>
    </w:lvl>
    <w:lvl w:ilvl="5" w:tplc="E3A25AF0" w:tentative="1">
      <w:start w:val="1"/>
      <w:numFmt w:val="bullet"/>
      <w:lvlText w:val="•"/>
      <w:lvlJc w:val="left"/>
      <w:pPr>
        <w:tabs>
          <w:tab w:val="num" w:pos="4320"/>
        </w:tabs>
        <w:ind w:left="4320" w:hanging="360"/>
      </w:pPr>
      <w:rPr>
        <w:rFonts w:ascii="Arial" w:hAnsi="Arial" w:hint="default"/>
      </w:rPr>
    </w:lvl>
    <w:lvl w:ilvl="6" w:tplc="08BC95FA" w:tentative="1">
      <w:start w:val="1"/>
      <w:numFmt w:val="bullet"/>
      <w:lvlText w:val="•"/>
      <w:lvlJc w:val="left"/>
      <w:pPr>
        <w:tabs>
          <w:tab w:val="num" w:pos="5040"/>
        </w:tabs>
        <w:ind w:left="5040" w:hanging="360"/>
      </w:pPr>
      <w:rPr>
        <w:rFonts w:ascii="Arial" w:hAnsi="Arial" w:hint="default"/>
      </w:rPr>
    </w:lvl>
    <w:lvl w:ilvl="7" w:tplc="1B3653FE" w:tentative="1">
      <w:start w:val="1"/>
      <w:numFmt w:val="bullet"/>
      <w:lvlText w:val="•"/>
      <w:lvlJc w:val="left"/>
      <w:pPr>
        <w:tabs>
          <w:tab w:val="num" w:pos="5760"/>
        </w:tabs>
        <w:ind w:left="5760" w:hanging="360"/>
      </w:pPr>
      <w:rPr>
        <w:rFonts w:ascii="Arial" w:hAnsi="Arial" w:hint="default"/>
      </w:rPr>
    </w:lvl>
    <w:lvl w:ilvl="8" w:tplc="880CDB4C" w:tentative="1">
      <w:start w:val="1"/>
      <w:numFmt w:val="bullet"/>
      <w:lvlText w:val="•"/>
      <w:lvlJc w:val="left"/>
      <w:pPr>
        <w:tabs>
          <w:tab w:val="num" w:pos="6480"/>
        </w:tabs>
        <w:ind w:left="6480" w:hanging="360"/>
      </w:pPr>
      <w:rPr>
        <w:rFonts w:ascii="Arial" w:hAnsi="Arial" w:hint="default"/>
      </w:rPr>
    </w:lvl>
  </w:abstractNum>
  <w:abstractNum w:abstractNumId="4">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02A56"/>
    <w:rsid w:val="00227878"/>
    <w:rsid w:val="002376BB"/>
    <w:rsid w:val="0033665B"/>
    <w:rsid w:val="00350F7A"/>
    <w:rsid w:val="003553F8"/>
    <w:rsid w:val="00360ED6"/>
    <w:rsid w:val="004B1D7A"/>
    <w:rsid w:val="004E303F"/>
    <w:rsid w:val="00503AEF"/>
    <w:rsid w:val="00507FD7"/>
    <w:rsid w:val="00510744"/>
    <w:rsid w:val="005368D6"/>
    <w:rsid w:val="00554AD8"/>
    <w:rsid w:val="0057785A"/>
    <w:rsid w:val="00581152"/>
    <w:rsid w:val="0059033B"/>
    <w:rsid w:val="00613DCA"/>
    <w:rsid w:val="00644510"/>
    <w:rsid w:val="006A0D74"/>
    <w:rsid w:val="00756698"/>
    <w:rsid w:val="007766FD"/>
    <w:rsid w:val="007A2171"/>
    <w:rsid w:val="007E2333"/>
    <w:rsid w:val="00801135"/>
    <w:rsid w:val="00925F7A"/>
    <w:rsid w:val="0099550F"/>
    <w:rsid w:val="009A1F23"/>
    <w:rsid w:val="009F634E"/>
    <w:rsid w:val="00AC3913"/>
    <w:rsid w:val="00AF372B"/>
    <w:rsid w:val="00B5254A"/>
    <w:rsid w:val="00B90EB6"/>
    <w:rsid w:val="00C42A27"/>
    <w:rsid w:val="00C636F6"/>
    <w:rsid w:val="00D4693C"/>
    <w:rsid w:val="00D60791"/>
    <w:rsid w:val="00D640A5"/>
    <w:rsid w:val="00D85442"/>
    <w:rsid w:val="00D91C21"/>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more">
    <w:name w:val="truncate_more"/>
    <w:basedOn w:val="a1"/>
    <w:rsid w:val="00507FD7"/>
  </w:style>
  <w:style w:type="paragraph" w:styleId="a8">
    <w:name w:val="Normal (Web)"/>
    <w:basedOn w:val="a"/>
    <w:uiPriority w:val="99"/>
    <w:semiHidden/>
    <w:unhideWhenUsed/>
    <w:rsid w:val="00D91C2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more">
    <w:name w:val="truncate_more"/>
    <w:basedOn w:val="a1"/>
    <w:rsid w:val="00507FD7"/>
  </w:style>
  <w:style w:type="paragraph" w:styleId="a8">
    <w:name w:val="Normal (Web)"/>
    <w:basedOn w:val="a"/>
    <w:uiPriority w:val="99"/>
    <w:semiHidden/>
    <w:unhideWhenUsed/>
    <w:rsid w:val="00D91C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350570769">
      <w:bodyDiv w:val="1"/>
      <w:marLeft w:val="0"/>
      <w:marRight w:val="0"/>
      <w:marTop w:val="0"/>
      <w:marBottom w:val="0"/>
      <w:divBdr>
        <w:top w:val="none" w:sz="0" w:space="0" w:color="auto"/>
        <w:left w:val="none" w:sz="0" w:space="0" w:color="auto"/>
        <w:bottom w:val="none" w:sz="0" w:space="0" w:color="auto"/>
        <w:right w:val="none" w:sz="0" w:space="0" w:color="auto"/>
      </w:divBdr>
      <w:divsChild>
        <w:div w:id="444692514">
          <w:marLeft w:val="547"/>
          <w:marRight w:val="0"/>
          <w:marTop w:val="0"/>
          <w:marBottom w:val="0"/>
          <w:divBdr>
            <w:top w:val="none" w:sz="0" w:space="0" w:color="auto"/>
            <w:left w:val="none" w:sz="0" w:space="0" w:color="auto"/>
            <w:bottom w:val="none" w:sz="0" w:space="0" w:color="auto"/>
            <w:right w:val="none" w:sz="0" w:space="0" w:color="auto"/>
          </w:divBdr>
        </w:div>
        <w:div w:id="261036381">
          <w:marLeft w:val="547"/>
          <w:marRight w:val="0"/>
          <w:marTop w:val="0"/>
          <w:marBottom w:val="0"/>
          <w:divBdr>
            <w:top w:val="none" w:sz="0" w:space="0" w:color="auto"/>
            <w:left w:val="none" w:sz="0" w:space="0" w:color="auto"/>
            <w:bottom w:val="none" w:sz="0" w:space="0" w:color="auto"/>
            <w:right w:val="none" w:sz="0" w:space="0" w:color="auto"/>
          </w:divBdr>
        </w:div>
        <w:div w:id="970288461">
          <w:marLeft w:val="547"/>
          <w:marRight w:val="0"/>
          <w:marTop w:val="0"/>
          <w:marBottom w:val="0"/>
          <w:divBdr>
            <w:top w:val="none" w:sz="0" w:space="0" w:color="auto"/>
            <w:left w:val="none" w:sz="0" w:space="0" w:color="auto"/>
            <w:bottom w:val="none" w:sz="0" w:space="0" w:color="auto"/>
            <w:right w:val="none" w:sz="0" w:space="0" w:color="auto"/>
          </w:divBdr>
        </w:div>
      </w:divsChild>
    </w:div>
    <w:div w:id="16771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6EBF-25D1-4976-8AA8-0BD09AAE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Ходырева Анастасия Юрьеевна</cp:lastModifiedBy>
  <cp:revision>2</cp:revision>
  <dcterms:created xsi:type="dcterms:W3CDTF">2018-04-06T14:06:00Z</dcterms:created>
  <dcterms:modified xsi:type="dcterms:W3CDTF">2018-04-06T14:06:00Z</dcterms:modified>
</cp:coreProperties>
</file>