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Default="002C1A1A" w:rsidP="00D906C3">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r w:rsidR="00AC60E7">
        <w:rPr>
          <w:rFonts w:ascii="Times New Roman" w:eastAsiaTheme="minorHAnsi" w:hAnsi="Times New Roman"/>
          <w:b/>
          <w:sz w:val="24"/>
          <w:szCs w:val="24"/>
          <w:lang w:val="en-US"/>
        </w:rPr>
        <w:t>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2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4"/>
        <w:gridCol w:w="2552"/>
        <w:gridCol w:w="3260"/>
      </w:tblGrid>
      <w:tr w:rsidR="00047CD4" w:rsidRPr="00C42A27" w:rsidTr="00AC60E7">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47CD4" w:rsidRPr="00D906C3" w:rsidRDefault="00047CD4">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Title of the course</w:t>
            </w:r>
          </w:p>
        </w:tc>
        <w:tc>
          <w:tcPr>
            <w:tcW w:w="7796"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47CD4" w:rsidRPr="00D906C3" w:rsidRDefault="00047CD4" w:rsidP="00DD286A">
            <w:pPr>
              <w:spacing w:after="0" w:line="240" w:lineRule="auto"/>
              <w:rPr>
                <w:rFonts w:ascii="Times New Roman" w:eastAsiaTheme="minorHAnsi" w:hAnsi="Times New Roman"/>
                <w:b/>
                <w:sz w:val="20"/>
                <w:szCs w:val="20"/>
                <w:lang w:val="en-US"/>
              </w:rPr>
            </w:pPr>
            <w:r w:rsidRPr="00D906C3">
              <w:rPr>
                <w:rFonts w:ascii="Times New Roman" w:eastAsiaTheme="minorHAnsi" w:hAnsi="Times New Roman"/>
                <w:b/>
                <w:sz w:val="20"/>
                <w:szCs w:val="20"/>
                <w:lang w:val="en-US"/>
              </w:rPr>
              <w:t>Financial markets and institutions</w:t>
            </w:r>
          </w:p>
        </w:tc>
      </w:tr>
      <w:tr w:rsidR="00047CD4" w:rsidRPr="00047CD4" w:rsidTr="00AC60E7">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47CD4" w:rsidRPr="00D906C3" w:rsidRDefault="00047CD4">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 xml:space="preserve">Title of the Academic Programme </w:t>
            </w:r>
          </w:p>
        </w:tc>
        <w:tc>
          <w:tcPr>
            <w:tcW w:w="7796"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047CD4" w:rsidRPr="00D906C3" w:rsidRDefault="00047CD4" w:rsidP="00DD286A">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Finance Master’s programme</w:t>
            </w:r>
          </w:p>
        </w:tc>
      </w:tr>
      <w:tr w:rsidR="00047CD4" w:rsidRPr="00047CD4" w:rsidTr="00AC60E7">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47CD4" w:rsidRPr="00D906C3" w:rsidRDefault="00047CD4" w:rsidP="006E2F0C">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 xml:space="preserve">Type of the course </w:t>
            </w:r>
          </w:p>
        </w:tc>
        <w:tc>
          <w:tcPr>
            <w:tcW w:w="7796"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047CD4" w:rsidRPr="00D906C3" w:rsidRDefault="00047CD4" w:rsidP="00DD286A">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Mandatory</w:t>
            </w:r>
          </w:p>
        </w:tc>
      </w:tr>
      <w:tr w:rsidR="00C42A27" w:rsidRPr="00AC60E7" w:rsidTr="00AC60E7">
        <w:trPr>
          <w:trHeight w:val="230"/>
        </w:trPr>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906C3" w:rsidRDefault="00C42A27">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Prerequisites</w:t>
            </w:r>
          </w:p>
        </w:tc>
        <w:tc>
          <w:tcPr>
            <w:tcW w:w="7796"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D906C3" w:rsidRDefault="00047CD4">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Economics (micro, macro) Corporate finance,  mathematical methods in economics, Finance theory</w:t>
            </w:r>
          </w:p>
        </w:tc>
      </w:tr>
      <w:tr w:rsidR="00C42A27" w:rsidRPr="00C42A27" w:rsidTr="00AC60E7">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906C3" w:rsidRDefault="00C42A27">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ECTS</w:t>
            </w:r>
            <w:r w:rsidR="00D85442" w:rsidRPr="00D906C3">
              <w:rPr>
                <w:rFonts w:ascii="Times New Roman" w:eastAsiaTheme="minorHAnsi" w:hAnsi="Times New Roman"/>
                <w:sz w:val="24"/>
                <w:szCs w:val="24"/>
                <w:lang w:val="en-US"/>
              </w:rPr>
              <w:t xml:space="preserve"> workload</w:t>
            </w:r>
          </w:p>
        </w:tc>
        <w:tc>
          <w:tcPr>
            <w:tcW w:w="7796"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D906C3" w:rsidRDefault="00047CD4">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4</w:t>
            </w:r>
          </w:p>
        </w:tc>
      </w:tr>
      <w:tr w:rsidR="00047CD4" w:rsidTr="00AC60E7">
        <w:trPr>
          <w:trHeight w:val="217"/>
        </w:trPr>
        <w:tc>
          <w:tcPr>
            <w:tcW w:w="241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47CD4" w:rsidRPr="00D906C3" w:rsidRDefault="00047CD4">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Total indicative study hours</w:t>
            </w:r>
          </w:p>
        </w:tc>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47CD4" w:rsidRPr="00D906C3" w:rsidRDefault="00047CD4" w:rsidP="00DD286A">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047CD4" w:rsidRPr="00D906C3" w:rsidRDefault="00047CD4" w:rsidP="00DD286A">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 xml:space="preserve">Self-directed study </w:t>
            </w:r>
          </w:p>
        </w:tc>
        <w:tc>
          <w:tcPr>
            <w:tcW w:w="3260" w:type="dxa"/>
            <w:tcBorders>
              <w:top w:val="single" w:sz="4" w:space="0" w:color="auto"/>
              <w:left w:val="single" w:sz="4" w:space="0" w:color="auto"/>
              <w:bottom w:val="single" w:sz="4" w:space="0" w:color="auto"/>
              <w:right w:val="single" w:sz="4" w:space="0" w:color="auto"/>
            </w:tcBorders>
            <w:hideMark/>
          </w:tcPr>
          <w:p w:rsidR="00047CD4" w:rsidRPr="00D906C3" w:rsidRDefault="00047CD4" w:rsidP="00DD286A">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Total</w:t>
            </w:r>
          </w:p>
        </w:tc>
      </w:tr>
      <w:tr w:rsidR="00047CD4" w:rsidTr="00AC60E7">
        <w:trPr>
          <w:trHeight w:val="21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47CD4" w:rsidRPr="00D906C3" w:rsidRDefault="00047CD4">
            <w:pPr>
              <w:spacing w:after="0" w:line="240" w:lineRule="auto"/>
              <w:rPr>
                <w:rFonts w:ascii="Times New Roman" w:eastAsiaTheme="minorHAnsi" w:hAnsi="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47CD4" w:rsidRPr="00D906C3" w:rsidRDefault="00047CD4" w:rsidP="00DD286A">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56</w:t>
            </w:r>
          </w:p>
        </w:tc>
        <w:tc>
          <w:tcPr>
            <w:tcW w:w="2552" w:type="dxa"/>
            <w:tcBorders>
              <w:top w:val="single" w:sz="4" w:space="0" w:color="auto"/>
              <w:left w:val="single" w:sz="4" w:space="0" w:color="auto"/>
              <w:bottom w:val="single" w:sz="4" w:space="0" w:color="auto"/>
              <w:right w:val="single" w:sz="4" w:space="0" w:color="auto"/>
            </w:tcBorders>
          </w:tcPr>
          <w:p w:rsidR="00047CD4" w:rsidRPr="00D906C3" w:rsidRDefault="00047CD4" w:rsidP="00DD286A">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96</w:t>
            </w:r>
          </w:p>
        </w:tc>
        <w:tc>
          <w:tcPr>
            <w:tcW w:w="3260" w:type="dxa"/>
            <w:tcBorders>
              <w:top w:val="single" w:sz="4" w:space="0" w:color="auto"/>
              <w:left w:val="single" w:sz="4" w:space="0" w:color="auto"/>
              <w:bottom w:val="single" w:sz="4" w:space="0" w:color="auto"/>
              <w:right w:val="single" w:sz="4" w:space="0" w:color="auto"/>
            </w:tcBorders>
          </w:tcPr>
          <w:p w:rsidR="00047CD4" w:rsidRPr="00D906C3" w:rsidRDefault="00047CD4" w:rsidP="00DD286A">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152</w:t>
            </w:r>
          </w:p>
        </w:tc>
      </w:tr>
      <w:tr w:rsidR="00C42A27" w:rsidRPr="00AC60E7" w:rsidTr="00AC60E7">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906C3" w:rsidRDefault="00C42A27">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Course Overview</w:t>
            </w:r>
          </w:p>
        </w:tc>
        <w:tc>
          <w:tcPr>
            <w:tcW w:w="779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D906C3" w:rsidRDefault="00047CD4">
            <w:pPr>
              <w:spacing w:after="0"/>
              <w:jc w:val="both"/>
              <w:rPr>
                <w:rFonts w:ascii="Times New Roman" w:eastAsiaTheme="minorHAnsi" w:hAnsi="Times New Roman"/>
                <w:sz w:val="20"/>
                <w:szCs w:val="20"/>
                <w:lang w:val="en-US"/>
              </w:rPr>
            </w:pPr>
            <w:r w:rsidRPr="00D906C3">
              <w:rPr>
                <w:rFonts w:ascii="Times New Roman" w:hAnsi="Times New Roman"/>
                <w:sz w:val="20"/>
                <w:szCs w:val="20"/>
                <w:lang w:val="en-US"/>
              </w:rPr>
              <w:t>Course is aimed at study of the fundamentals  of financial markets and financial instruments, the features of the formation of modern financial markets, on the practical application of financial instruments, the types of financial institutions and their roles and functions in the financial markets.</w:t>
            </w:r>
          </w:p>
        </w:tc>
      </w:tr>
      <w:tr w:rsidR="00C42A27" w:rsidRPr="00AC60E7" w:rsidTr="00AC60E7">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906C3" w:rsidRDefault="00C42A27">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Intended Learning Outcomes</w:t>
            </w:r>
            <w:r w:rsidR="00B15888" w:rsidRPr="00D906C3">
              <w:rPr>
                <w:rFonts w:ascii="Times New Roman" w:eastAsiaTheme="minorHAnsi" w:hAnsi="Times New Roman"/>
                <w:sz w:val="24"/>
                <w:szCs w:val="24"/>
                <w:lang w:val="en-US"/>
              </w:rPr>
              <w:t xml:space="preserve"> (ILO)</w:t>
            </w:r>
          </w:p>
        </w:tc>
        <w:tc>
          <w:tcPr>
            <w:tcW w:w="779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xml:space="preserve">To know:  </w:t>
            </w:r>
          </w:p>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the structure and objectives of the financial market;</w:t>
            </w:r>
          </w:p>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the structure of  financial market and the contents of financial assets;</w:t>
            </w:r>
          </w:p>
          <w:p w:rsidR="00A117EB" w:rsidRPr="00D906C3" w:rsidRDefault="00047CD4" w:rsidP="00A117EB">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basic concepts, functions and tools of the financial market: securities, currency, loans, precious metals and precious stones;</w:t>
            </w:r>
          </w:p>
          <w:p w:rsidR="00A117EB" w:rsidRPr="00D906C3" w:rsidRDefault="00A117EB" w:rsidP="00A117EB">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understand the challenges of uncertain environment of financial markets, assess them and take appropriate financial and investment decisions.</w:t>
            </w:r>
          </w:p>
          <w:p w:rsidR="00A117EB" w:rsidRPr="00D906C3" w:rsidRDefault="00A117EB" w:rsidP="00A117EB">
            <w:pPr>
              <w:spacing w:after="0" w:line="240" w:lineRule="auto"/>
              <w:contextualSpacing/>
              <w:rPr>
                <w:rFonts w:ascii="Times New Roman" w:hAnsi="Times New Roman"/>
                <w:sz w:val="20"/>
                <w:szCs w:val="20"/>
                <w:lang w:val="en-GB"/>
              </w:rPr>
            </w:pPr>
          </w:p>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xml:space="preserve">To be able to: </w:t>
            </w:r>
          </w:p>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properly evaluate investment risks;</w:t>
            </w:r>
          </w:p>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build relationships with various financial institutions and intermediaries;</w:t>
            </w:r>
          </w:p>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evaluate the investment as a financial asset and use the various tools of the financial market;</w:t>
            </w:r>
          </w:p>
          <w:p w:rsidR="00A117EB" w:rsidRPr="00D906C3" w:rsidRDefault="00A117EB" w:rsidP="00A117EB">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use strong financial-analytical skills and apply them to solve investment problems;</w:t>
            </w:r>
          </w:p>
          <w:p w:rsidR="00A117EB" w:rsidRPr="00D906C3" w:rsidRDefault="00A117EB" w:rsidP="00A117EB">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plan and perform an independent research project in the area of financial markets and istruments</w:t>
            </w:r>
          </w:p>
          <w:p w:rsidR="00A117EB" w:rsidRPr="00D906C3" w:rsidRDefault="00A117EB"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evaluate and design financial strategies for companies and financial institutions in a turbulent environment</w:t>
            </w:r>
          </w:p>
          <w:p w:rsidR="00A117EB" w:rsidRPr="00D906C3" w:rsidRDefault="00A117EB" w:rsidP="00047CD4">
            <w:pPr>
              <w:spacing w:after="0" w:line="240" w:lineRule="auto"/>
              <w:contextualSpacing/>
              <w:rPr>
                <w:rFonts w:ascii="Times New Roman" w:hAnsi="Times New Roman"/>
                <w:sz w:val="20"/>
                <w:szCs w:val="20"/>
                <w:lang w:val="en-GB"/>
              </w:rPr>
            </w:pPr>
          </w:p>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xml:space="preserve">To acquire skills in:  </w:t>
            </w:r>
          </w:p>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basics of legal support in the functioning of the financial market;</w:t>
            </w:r>
          </w:p>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methods of control over the financial situation of the issuer;</w:t>
            </w:r>
          </w:p>
          <w:p w:rsidR="00047CD4" w:rsidRPr="00D906C3" w:rsidRDefault="00047CD4"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xml:space="preserve">• </w:t>
            </w:r>
            <w:r w:rsidR="00F501E8" w:rsidRPr="00D906C3">
              <w:rPr>
                <w:rFonts w:ascii="Times New Roman" w:hAnsi="Times New Roman"/>
                <w:sz w:val="20"/>
                <w:szCs w:val="20"/>
                <w:lang w:val="en-GB"/>
              </w:rPr>
              <w:t>skills for</w:t>
            </w:r>
            <w:r w:rsidRPr="00D906C3">
              <w:rPr>
                <w:rFonts w:ascii="Times New Roman" w:hAnsi="Times New Roman"/>
                <w:sz w:val="20"/>
                <w:szCs w:val="20"/>
                <w:lang w:val="en-GB"/>
              </w:rPr>
              <w:t xml:space="preserve"> using the various tools in the financial market.</w:t>
            </w:r>
          </w:p>
          <w:p w:rsidR="00A117EB" w:rsidRPr="00D906C3" w:rsidRDefault="00A117EB"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capability of an innovative, open and ethical mindset</w:t>
            </w:r>
          </w:p>
          <w:p w:rsidR="00A117EB" w:rsidRPr="00D906C3" w:rsidRDefault="00A117EB" w:rsidP="00047CD4">
            <w:pPr>
              <w:spacing w:after="0" w:line="240" w:lineRule="auto"/>
              <w:contextualSpacing/>
              <w:rPr>
                <w:rFonts w:ascii="Times New Roman" w:hAnsi="Times New Roman"/>
                <w:sz w:val="20"/>
                <w:szCs w:val="20"/>
                <w:lang w:val="en-GB"/>
              </w:rPr>
            </w:pPr>
            <w:r w:rsidRPr="00D906C3">
              <w:rPr>
                <w:rFonts w:ascii="Times New Roman" w:hAnsi="Times New Roman"/>
                <w:sz w:val="20"/>
                <w:szCs w:val="20"/>
                <w:lang w:val="en-GB"/>
              </w:rPr>
              <w:t>• capability to evaluate risks of financial decision</w:t>
            </w:r>
          </w:p>
          <w:p w:rsidR="00C42A27" w:rsidRPr="00D906C3" w:rsidRDefault="00047CD4" w:rsidP="00A117EB">
            <w:pPr>
              <w:spacing w:after="0" w:line="240" w:lineRule="auto"/>
              <w:rPr>
                <w:rFonts w:ascii="Times New Roman" w:eastAsiaTheme="minorHAnsi" w:hAnsi="Times New Roman"/>
                <w:sz w:val="20"/>
                <w:szCs w:val="20"/>
                <w:lang w:val="en-US"/>
              </w:rPr>
            </w:pPr>
            <w:r w:rsidRPr="00D906C3">
              <w:rPr>
                <w:rFonts w:ascii="Times New Roman" w:hAnsi="Times New Roman"/>
                <w:sz w:val="20"/>
                <w:szCs w:val="20"/>
                <w:lang w:val="en-GB"/>
              </w:rPr>
              <w:t>The knowledge, skills and competences acquired in the course of studying this discipline, will be useful for specialists in finance and banking and exchange business in solving various problems of the administrative, analytical, research, settlement and economic nature.</w:t>
            </w:r>
            <w:r w:rsidR="00A117EB" w:rsidRPr="00D906C3">
              <w:rPr>
                <w:rFonts w:ascii="Times New Roman" w:hAnsi="Times New Roman"/>
                <w:sz w:val="20"/>
                <w:szCs w:val="20"/>
                <w:lang w:val="en-GB"/>
              </w:rPr>
              <w:t xml:space="preserve"> Also, this knowledge will be useful for financial concepts and application of analytical tools to the elaboration of financial strategies</w:t>
            </w:r>
          </w:p>
        </w:tc>
      </w:tr>
      <w:tr w:rsidR="00C42A27" w:rsidRPr="00AC60E7" w:rsidTr="00AC60E7">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906C3" w:rsidRDefault="00C42A27">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Teaching and Learning Methods</w:t>
            </w:r>
          </w:p>
        </w:tc>
        <w:tc>
          <w:tcPr>
            <w:tcW w:w="779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D906C3" w:rsidRDefault="00047CD4">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The course is based on the active learning technologies, mostly at case studies. Teaching and learning methods include lectures, tutorials, seminars, case studies, group work, home assignments (individual and group projects). The written examination (80 minutes, close-booked) containing tests, problems and case analysis is a mandatory part of the learning process</w:t>
            </w:r>
          </w:p>
        </w:tc>
      </w:tr>
      <w:tr w:rsidR="00C42A27" w:rsidRPr="00AC60E7" w:rsidTr="00AC60E7">
        <w:trPr>
          <w:trHeight w:val="552"/>
        </w:trPr>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906C3" w:rsidRDefault="00076E2F" w:rsidP="00076E2F">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 xml:space="preserve">Indicative Assessment Methods and Strategy </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47CD4" w:rsidRPr="00D906C3" w:rsidRDefault="00047CD4" w:rsidP="00047CD4">
            <w:pPr>
              <w:spacing w:after="0" w:line="240" w:lineRule="auto"/>
              <w:jc w:val="both"/>
              <w:rPr>
                <w:rFonts w:ascii="Times New Roman" w:hAnsi="Times New Roman"/>
                <w:sz w:val="20"/>
                <w:szCs w:val="20"/>
                <w:lang w:val="en-US"/>
              </w:rPr>
            </w:pPr>
            <w:r w:rsidRPr="00D906C3">
              <w:rPr>
                <w:rFonts w:ascii="Times New Roman" w:hAnsi="Times New Roman"/>
                <w:b/>
                <w:sz w:val="20"/>
                <w:szCs w:val="20"/>
                <w:lang w:val="en-US"/>
              </w:rPr>
              <w:t>The cumulative grade (G</w:t>
            </w:r>
            <w:r w:rsidRPr="00D906C3">
              <w:rPr>
                <w:rFonts w:ascii="Times New Roman" w:hAnsi="Times New Roman"/>
                <w:b/>
                <w:sz w:val="20"/>
                <w:szCs w:val="20"/>
                <w:vertAlign w:val="subscript"/>
                <w:lang w:val="en-US"/>
              </w:rPr>
              <w:t>C</w:t>
            </w:r>
            <w:r w:rsidRPr="00D906C3">
              <w:rPr>
                <w:rFonts w:ascii="Times New Roman" w:hAnsi="Times New Roman"/>
                <w:b/>
                <w:sz w:val="20"/>
                <w:szCs w:val="20"/>
                <w:lang w:val="en-US"/>
              </w:rPr>
              <w:t xml:space="preserve">) </w:t>
            </w:r>
            <w:r w:rsidRPr="00D906C3">
              <w:rPr>
                <w:rFonts w:ascii="Times New Roman" w:hAnsi="Times New Roman"/>
                <w:sz w:val="20"/>
                <w:szCs w:val="20"/>
                <w:lang w:val="en-US"/>
              </w:rPr>
              <w:t xml:space="preserve">is calculated as an average, based on the following equation: </w:t>
            </w:r>
          </w:p>
          <w:p w:rsidR="00047CD4" w:rsidRPr="00D906C3" w:rsidRDefault="00047CD4" w:rsidP="00047CD4">
            <w:pPr>
              <w:spacing w:after="0" w:line="240" w:lineRule="auto"/>
              <w:jc w:val="center"/>
              <w:rPr>
                <w:rFonts w:ascii="Times New Roman" w:hAnsi="Times New Roman"/>
                <w:sz w:val="20"/>
                <w:szCs w:val="20"/>
                <w:vertAlign w:val="subscript"/>
                <w:lang w:val="en-US"/>
              </w:rPr>
            </w:pPr>
            <w:r w:rsidRPr="00D906C3">
              <w:rPr>
                <w:rFonts w:ascii="Times New Roman" w:hAnsi="Times New Roman"/>
                <w:sz w:val="20"/>
                <w:szCs w:val="20"/>
                <w:lang w:val="en-US"/>
              </w:rPr>
              <w:t>G</w:t>
            </w:r>
            <w:r w:rsidRPr="00D906C3">
              <w:rPr>
                <w:rFonts w:ascii="Times New Roman" w:hAnsi="Times New Roman"/>
                <w:i/>
                <w:sz w:val="20"/>
                <w:szCs w:val="20"/>
                <w:vertAlign w:val="subscript"/>
                <w:lang w:val="en-US"/>
              </w:rPr>
              <w:t xml:space="preserve">C </w:t>
            </w:r>
            <w:r w:rsidRPr="00D906C3">
              <w:rPr>
                <w:rFonts w:ascii="Times New Roman" w:hAnsi="Times New Roman"/>
                <w:sz w:val="20"/>
                <w:szCs w:val="20"/>
                <w:lang w:val="en-US"/>
              </w:rPr>
              <w:t>= 0,45·G</w:t>
            </w:r>
            <w:r w:rsidRPr="00D906C3">
              <w:rPr>
                <w:rFonts w:ascii="Times New Roman" w:hAnsi="Times New Roman"/>
                <w:i/>
                <w:sz w:val="20"/>
                <w:szCs w:val="20"/>
                <w:vertAlign w:val="subscript"/>
                <w:lang w:val="en-US"/>
              </w:rPr>
              <w:t>hw</w:t>
            </w:r>
            <w:r w:rsidRPr="00D906C3">
              <w:rPr>
                <w:rFonts w:ascii="Times New Roman" w:hAnsi="Times New Roman"/>
                <w:sz w:val="20"/>
                <w:szCs w:val="20"/>
                <w:lang w:val="en-US"/>
              </w:rPr>
              <w:t>+ 0,1· G</w:t>
            </w:r>
            <w:r w:rsidRPr="00D906C3">
              <w:rPr>
                <w:rFonts w:ascii="Times New Roman" w:hAnsi="Times New Roman"/>
                <w:i/>
                <w:sz w:val="20"/>
                <w:szCs w:val="20"/>
                <w:vertAlign w:val="subscript"/>
                <w:lang w:val="en-US"/>
              </w:rPr>
              <w:t>sa</w:t>
            </w:r>
            <w:r w:rsidRPr="00D906C3">
              <w:rPr>
                <w:rFonts w:ascii="Times New Roman" w:hAnsi="Times New Roman"/>
                <w:sz w:val="20"/>
                <w:szCs w:val="20"/>
                <w:lang w:val="en-US"/>
              </w:rPr>
              <w:t>+0.45G</w:t>
            </w:r>
            <w:r w:rsidRPr="00D906C3">
              <w:rPr>
                <w:rFonts w:ascii="Times New Roman" w:hAnsi="Times New Roman"/>
                <w:sz w:val="20"/>
                <w:szCs w:val="20"/>
                <w:vertAlign w:val="subscript"/>
                <w:lang w:val="en-US"/>
              </w:rPr>
              <w:t>t</w:t>
            </w:r>
            <w:r w:rsidRPr="00D906C3">
              <w:rPr>
                <w:rFonts w:ascii="Times New Roman" w:hAnsi="Times New Roman"/>
                <w:sz w:val="20"/>
                <w:szCs w:val="20"/>
                <w:lang w:val="en-US"/>
              </w:rPr>
              <w:t xml:space="preserve"> where</w:t>
            </w:r>
          </w:p>
          <w:p w:rsidR="00047CD4" w:rsidRPr="00D906C3" w:rsidRDefault="00047CD4" w:rsidP="00047CD4">
            <w:pPr>
              <w:spacing w:after="0" w:line="240" w:lineRule="auto"/>
              <w:jc w:val="both"/>
              <w:rPr>
                <w:rFonts w:ascii="Times New Roman" w:hAnsi="Times New Roman"/>
                <w:sz w:val="20"/>
                <w:szCs w:val="20"/>
                <w:lang w:val="en-US"/>
              </w:rPr>
            </w:pPr>
            <w:r w:rsidRPr="00D906C3">
              <w:rPr>
                <w:rFonts w:ascii="Times New Roman" w:hAnsi="Times New Roman"/>
                <w:i/>
                <w:sz w:val="20"/>
                <w:szCs w:val="20"/>
                <w:lang w:val="en-US"/>
              </w:rPr>
              <w:t>G</w:t>
            </w:r>
            <w:r w:rsidRPr="00D906C3">
              <w:rPr>
                <w:rFonts w:ascii="Times New Roman" w:hAnsi="Times New Roman"/>
                <w:i/>
                <w:sz w:val="20"/>
                <w:szCs w:val="20"/>
                <w:vertAlign w:val="subscript"/>
                <w:lang w:val="en-US"/>
              </w:rPr>
              <w:t>hw</w:t>
            </w:r>
            <w:r w:rsidRPr="00D906C3">
              <w:rPr>
                <w:rFonts w:ascii="Times New Roman" w:hAnsi="Times New Roman"/>
                <w:sz w:val="20"/>
                <w:szCs w:val="20"/>
                <w:lang w:val="en-US"/>
              </w:rPr>
              <w:t xml:space="preserve"> – grade for homework projects</w:t>
            </w:r>
          </w:p>
          <w:p w:rsidR="00047CD4" w:rsidRPr="00D906C3" w:rsidRDefault="00047CD4" w:rsidP="00047CD4">
            <w:pPr>
              <w:spacing w:after="0" w:line="240" w:lineRule="auto"/>
              <w:jc w:val="both"/>
              <w:rPr>
                <w:rFonts w:ascii="Times New Roman" w:hAnsi="Times New Roman"/>
                <w:sz w:val="20"/>
                <w:szCs w:val="20"/>
                <w:lang w:val="en-US"/>
              </w:rPr>
            </w:pPr>
            <w:r w:rsidRPr="00D906C3">
              <w:rPr>
                <w:rFonts w:ascii="Times New Roman" w:hAnsi="Times New Roman"/>
                <w:i/>
                <w:sz w:val="20"/>
                <w:szCs w:val="20"/>
                <w:lang w:val="en-US"/>
              </w:rPr>
              <w:t>G</w:t>
            </w:r>
            <w:r w:rsidRPr="00D906C3">
              <w:rPr>
                <w:rFonts w:ascii="Times New Roman" w:hAnsi="Times New Roman"/>
                <w:i/>
                <w:sz w:val="20"/>
                <w:szCs w:val="20"/>
                <w:vertAlign w:val="subscript"/>
                <w:lang w:val="en-US"/>
              </w:rPr>
              <w:t>sa</w:t>
            </w:r>
            <w:r w:rsidRPr="00D906C3">
              <w:rPr>
                <w:rFonts w:ascii="Times New Roman" w:hAnsi="Times New Roman"/>
                <w:sz w:val="20"/>
                <w:szCs w:val="20"/>
                <w:lang w:val="en-US"/>
              </w:rPr>
              <w:t xml:space="preserve"> – grade for students’ activities at class</w:t>
            </w:r>
          </w:p>
          <w:p w:rsidR="00047CD4" w:rsidRPr="00D906C3" w:rsidRDefault="00047CD4" w:rsidP="00047CD4">
            <w:pPr>
              <w:spacing w:after="0" w:line="240" w:lineRule="auto"/>
              <w:jc w:val="both"/>
              <w:rPr>
                <w:rFonts w:ascii="Times New Roman" w:hAnsi="Times New Roman"/>
                <w:sz w:val="20"/>
                <w:szCs w:val="20"/>
                <w:lang w:val="en-US"/>
              </w:rPr>
            </w:pPr>
            <w:r w:rsidRPr="00D906C3">
              <w:rPr>
                <w:rFonts w:ascii="Times New Roman" w:hAnsi="Times New Roman"/>
                <w:sz w:val="20"/>
                <w:szCs w:val="20"/>
                <w:lang w:val="en-US"/>
              </w:rPr>
              <w:t>G</w:t>
            </w:r>
            <w:r w:rsidRPr="00D906C3">
              <w:rPr>
                <w:rFonts w:ascii="Times New Roman" w:hAnsi="Times New Roman"/>
                <w:sz w:val="20"/>
                <w:szCs w:val="20"/>
                <w:vertAlign w:val="subscript"/>
                <w:lang w:val="en-US"/>
              </w:rPr>
              <w:t xml:space="preserve">t </w:t>
            </w:r>
            <w:r w:rsidRPr="00D906C3">
              <w:rPr>
                <w:rFonts w:ascii="Times New Roman" w:hAnsi="Times New Roman"/>
                <w:sz w:val="20"/>
                <w:szCs w:val="20"/>
                <w:lang w:val="en-US"/>
              </w:rPr>
              <w:t xml:space="preserve">-  grade for written assignment </w:t>
            </w:r>
          </w:p>
          <w:p w:rsidR="00047CD4" w:rsidRPr="00D906C3" w:rsidRDefault="00047CD4" w:rsidP="00047CD4">
            <w:pPr>
              <w:spacing w:after="0" w:line="240" w:lineRule="auto"/>
              <w:rPr>
                <w:rFonts w:ascii="Times New Roman" w:hAnsi="Times New Roman"/>
                <w:sz w:val="20"/>
                <w:szCs w:val="20"/>
                <w:lang w:val="en-US"/>
              </w:rPr>
            </w:pPr>
            <w:r w:rsidRPr="00D906C3">
              <w:rPr>
                <w:rFonts w:ascii="Times New Roman" w:hAnsi="Times New Roman"/>
                <w:b/>
                <w:sz w:val="20"/>
                <w:szCs w:val="20"/>
                <w:lang w:val="en-US"/>
              </w:rPr>
              <w:t>The final grade (G</w:t>
            </w:r>
            <w:r w:rsidRPr="00D906C3">
              <w:rPr>
                <w:rFonts w:ascii="Times New Roman" w:hAnsi="Times New Roman"/>
                <w:b/>
                <w:sz w:val="20"/>
                <w:szCs w:val="20"/>
                <w:vertAlign w:val="subscript"/>
                <w:lang w:val="en-US"/>
              </w:rPr>
              <w:t>F</w:t>
            </w:r>
            <w:r w:rsidRPr="00D906C3">
              <w:rPr>
                <w:rFonts w:ascii="Times New Roman" w:hAnsi="Times New Roman"/>
                <w:b/>
                <w:sz w:val="20"/>
                <w:szCs w:val="20"/>
                <w:lang w:val="en-US"/>
              </w:rPr>
              <w:t xml:space="preserve">) </w:t>
            </w:r>
            <w:r w:rsidRPr="00D906C3">
              <w:rPr>
                <w:rFonts w:ascii="Times New Roman" w:hAnsi="Times New Roman"/>
                <w:sz w:val="20"/>
                <w:szCs w:val="20"/>
                <w:lang w:val="en-US"/>
              </w:rPr>
              <w:t xml:space="preserve">is calculated as follows: </w:t>
            </w:r>
          </w:p>
          <w:p w:rsidR="00047CD4" w:rsidRPr="00D906C3" w:rsidRDefault="00047CD4" w:rsidP="00047CD4">
            <w:pPr>
              <w:spacing w:after="0" w:line="240" w:lineRule="auto"/>
              <w:jc w:val="center"/>
              <w:rPr>
                <w:rFonts w:ascii="Times New Roman" w:hAnsi="Times New Roman"/>
                <w:sz w:val="20"/>
                <w:szCs w:val="20"/>
                <w:vertAlign w:val="subscript"/>
                <w:lang w:val="en-US"/>
              </w:rPr>
            </w:pPr>
            <w:r w:rsidRPr="00D906C3">
              <w:rPr>
                <w:rFonts w:ascii="Times New Roman" w:hAnsi="Times New Roman"/>
                <w:i/>
                <w:sz w:val="20"/>
                <w:szCs w:val="20"/>
                <w:lang w:val="en-US"/>
              </w:rPr>
              <w:t>G</w:t>
            </w:r>
            <w:r w:rsidRPr="00D906C3">
              <w:rPr>
                <w:rFonts w:ascii="Times New Roman" w:hAnsi="Times New Roman"/>
                <w:i/>
                <w:sz w:val="20"/>
                <w:szCs w:val="20"/>
                <w:vertAlign w:val="subscript"/>
                <w:lang w:val="en-US"/>
              </w:rPr>
              <w:t>F</w:t>
            </w:r>
            <w:r w:rsidRPr="00D906C3">
              <w:rPr>
                <w:rFonts w:ascii="Times New Roman" w:hAnsi="Times New Roman"/>
                <w:i/>
                <w:sz w:val="20"/>
                <w:szCs w:val="20"/>
                <w:lang w:val="en-US"/>
              </w:rPr>
              <w:t xml:space="preserve"> = 0,6</w:t>
            </w:r>
            <w:r w:rsidRPr="00D906C3">
              <w:rPr>
                <w:rFonts w:ascii="Times New Roman" w:hAnsi="Times New Roman"/>
                <w:sz w:val="20"/>
                <w:szCs w:val="20"/>
                <w:lang w:val="en-US"/>
              </w:rPr>
              <w:t>·</w:t>
            </w:r>
            <w:r w:rsidRPr="00D906C3">
              <w:rPr>
                <w:rFonts w:ascii="Times New Roman" w:hAnsi="Times New Roman"/>
                <w:i/>
                <w:sz w:val="20"/>
                <w:szCs w:val="20"/>
                <w:lang w:val="en-US"/>
              </w:rPr>
              <w:t>G</w:t>
            </w:r>
            <w:r w:rsidRPr="00D906C3">
              <w:rPr>
                <w:rFonts w:ascii="Times New Roman" w:hAnsi="Times New Roman"/>
                <w:i/>
                <w:sz w:val="20"/>
                <w:szCs w:val="20"/>
                <w:vertAlign w:val="subscript"/>
                <w:lang w:val="en-US"/>
              </w:rPr>
              <w:t>C</w:t>
            </w:r>
            <w:r w:rsidRPr="00D906C3">
              <w:rPr>
                <w:rFonts w:ascii="Times New Roman" w:hAnsi="Times New Roman"/>
                <w:i/>
                <w:sz w:val="20"/>
                <w:szCs w:val="20"/>
                <w:lang w:val="en-US"/>
              </w:rPr>
              <w:t xml:space="preserve"> + 0,4·G</w:t>
            </w:r>
            <w:r w:rsidRPr="00D906C3">
              <w:rPr>
                <w:rFonts w:ascii="Times New Roman" w:hAnsi="Times New Roman"/>
                <w:i/>
                <w:sz w:val="20"/>
                <w:szCs w:val="20"/>
                <w:vertAlign w:val="subscript"/>
                <w:lang w:val="en-US"/>
              </w:rPr>
              <w:t xml:space="preserve">EX , </w:t>
            </w:r>
            <w:r w:rsidRPr="00D906C3">
              <w:rPr>
                <w:rFonts w:ascii="Times New Roman" w:hAnsi="Times New Roman"/>
                <w:sz w:val="20"/>
                <w:szCs w:val="20"/>
                <w:lang w:val="en-US"/>
              </w:rPr>
              <w:t>where</w:t>
            </w:r>
          </w:p>
          <w:p w:rsidR="00C42A27" w:rsidRPr="00D906C3" w:rsidRDefault="00047CD4" w:rsidP="00047CD4">
            <w:pPr>
              <w:spacing w:after="0" w:line="240" w:lineRule="auto"/>
              <w:rPr>
                <w:rFonts w:ascii="Times New Roman" w:eastAsiaTheme="minorHAnsi" w:hAnsi="Times New Roman"/>
                <w:sz w:val="20"/>
                <w:szCs w:val="20"/>
                <w:lang w:val="en-US"/>
              </w:rPr>
            </w:pPr>
            <w:r w:rsidRPr="00D906C3">
              <w:rPr>
                <w:rFonts w:ascii="Times New Roman" w:hAnsi="Times New Roman"/>
                <w:i/>
                <w:sz w:val="20"/>
                <w:szCs w:val="20"/>
                <w:lang w:val="en-US"/>
              </w:rPr>
              <w:t>G</w:t>
            </w:r>
            <w:r w:rsidRPr="00D906C3">
              <w:rPr>
                <w:rFonts w:ascii="Times New Roman" w:hAnsi="Times New Roman"/>
                <w:i/>
                <w:sz w:val="20"/>
                <w:szCs w:val="20"/>
                <w:vertAlign w:val="subscript"/>
                <w:lang w:val="en-US"/>
              </w:rPr>
              <w:t>EX</w:t>
            </w:r>
            <w:r w:rsidRPr="00D906C3">
              <w:rPr>
                <w:rFonts w:ascii="Times New Roman" w:hAnsi="Times New Roman"/>
                <w:i/>
                <w:sz w:val="20"/>
                <w:szCs w:val="20"/>
                <w:lang w:val="en-US"/>
              </w:rPr>
              <w:t xml:space="preserve"> – </w:t>
            </w:r>
            <w:r w:rsidRPr="00D906C3">
              <w:rPr>
                <w:rFonts w:ascii="Times New Roman" w:hAnsi="Times New Roman"/>
                <w:sz w:val="20"/>
                <w:szCs w:val="20"/>
                <w:lang w:val="en-US"/>
              </w:rPr>
              <w:t>grade for the final examination</w:t>
            </w:r>
          </w:p>
        </w:tc>
      </w:tr>
      <w:tr w:rsidR="00076E2F" w:rsidRPr="00AC60E7" w:rsidTr="00AC60E7">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D906C3" w:rsidRDefault="00076E2F" w:rsidP="00EB63A7">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t>Readings / Indicative Learning Resources</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47CD4" w:rsidRPr="00D906C3" w:rsidRDefault="00047CD4" w:rsidP="00047CD4">
            <w:pPr>
              <w:spacing w:after="0" w:line="240" w:lineRule="auto"/>
              <w:rPr>
                <w:rFonts w:ascii="Times New Roman" w:eastAsiaTheme="minorHAnsi" w:hAnsi="Times New Roman"/>
                <w:sz w:val="20"/>
                <w:szCs w:val="20"/>
                <w:u w:val="single"/>
                <w:lang w:val="en-US"/>
              </w:rPr>
            </w:pPr>
            <w:r w:rsidRPr="00D906C3">
              <w:rPr>
                <w:rFonts w:ascii="Times New Roman" w:eastAsiaTheme="minorHAnsi" w:hAnsi="Times New Roman"/>
                <w:sz w:val="20"/>
                <w:szCs w:val="20"/>
                <w:u w:val="single"/>
                <w:lang w:val="en-US"/>
              </w:rPr>
              <w:t xml:space="preserve">Mandatory </w:t>
            </w:r>
          </w:p>
          <w:p w:rsidR="00047CD4" w:rsidRPr="00D906C3" w:rsidRDefault="00047CD4" w:rsidP="00047CD4">
            <w:pPr>
              <w:spacing w:after="0" w:line="240" w:lineRule="auto"/>
              <w:rPr>
                <w:rFonts w:ascii="Times New Roman" w:hAnsi="Times New Roman"/>
                <w:bCs/>
                <w:sz w:val="20"/>
                <w:szCs w:val="20"/>
                <w:lang w:val="en-US"/>
              </w:rPr>
            </w:pPr>
            <w:r w:rsidRPr="00D906C3">
              <w:rPr>
                <w:rFonts w:ascii="Times New Roman" w:hAnsi="Times New Roman"/>
                <w:bCs/>
                <w:sz w:val="20"/>
                <w:szCs w:val="20"/>
                <w:lang w:val="en-US"/>
              </w:rPr>
              <w:t>1.</w:t>
            </w:r>
            <w:r w:rsidRPr="00D906C3">
              <w:rPr>
                <w:rFonts w:ascii="Times New Roman" w:hAnsi="Times New Roman"/>
                <w:bCs/>
                <w:sz w:val="20"/>
                <w:szCs w:val="20"/>
                <w:lang w:val="en-US"/>
              </w:rPr>
              <w:tab/>
              <w:t xml:space="preserve">Anthony Saunders &amp;Marcia MillonCornett (2012). Financial markets and institutions, </w:t>
            </w:r>
            <w:r w:rsidRPr="00D906C3">
              <w:rPr>
                <w:rFonts w:ascii="Times New Roman" w:hAnsi="Times New Roman"/>
                <w:bCs/>
                <w:sz w:val="20"/>
                <w:szCs w:val="20"/>
                <w:lang w:val="en-US"/>
              </w:rPr>
              <w:lastRenderedPageBreak/>
              <w:t>5</w:t>
            </w:r>
            <w:r w:rsidRPr="00D906C3">
              <w:rPr>
                <w:rFonts w:ascii="Times New Roman" w:hAnsi="Times New Roman"/>
                <w:bCs/>
                <w:sz w:val="20"/>
                <w:szCs w:val="20"/>
                <w:vertAlign w:val="superscript"/>
                <w:lang w:val="en-US"/>
              </w:rPr>
              <w:t>th</w:t>
            </w:r>
            <w:r w:rsidRPr="00D906C3">
              <w:rPr>
                <w:rFonts w:ascii="Times New Roman" w:hAnsi="Times New Roman"/>
                <w:bCs/>
                <w:sz w:val="20"/>
                <w:szCs w:val="20"/>
                <w:lang w:val="en-US"/>
              </w:rPr>
              <w:t xml:space="preserve"> edition, McGraw-Hill/Irwin.</w:t>
            </w:r>
          </w:p>
          <w:p w:rsidR="00047CD4" w:rsidRPr="00D906C3" w:rsidRDefault="00047CD4" w:rsidP="00047CD4">
            <w:pPr>
              <w:spacing w:after="0" w:line="240" w:lineRule="auto"/>
              <w:rPr>
                <w:rFonts w:ascii="Times New Roman" w:eastAsiaTheme="minorHAnsi" w:hAnsi="Times New Roman"/>
                <w:sz w:val="20"/>
                <w:szCs w:val="20"/>
                <w:u w:val="single"/>
                <w:lang w:val="en-US"/>
              </w:rPr>
            </w:pPr>
            <w:r w:rsidRPr="00D906C3">
              <w:rPr>
                <w:rFonts w:ascii="Times New Roman" w:eastAsiaTheme="minorHAnsi" w:hAnsi="Times New Roman"/>
                <w:sz w:val="20"/>
                <w:szCs w:val="20"/>
                <w:u w:val="single"/>
                <w:lang w:val="en-US"/>
              </w:rPr>
              <w:t xml:space="preserve">Optional </w:t>
            </w:r>
          </w:p>
          <w:p w:rsidR="00047CD4" w:rsidRPr="00D906C3" w:rsidRDefault="00047CD4" w:rsidP="00047CD4">
            <w:pPr>
              <w:pStyle w:val="a0"/>
              <w:numPr>
                <w:ilvl w:val="0"/>
                <w:numId w:val="2"/>
              </w:numPr>
              <w:spacing w:after="0" w:line="240" w:lineRule="auto"/>
              <w:jc w:val="both"/>
              <w:rPr>
                <w:rFonts w:ascii="Times New Roman" w:eastAsiaTheme="minorHAnsi" w:hAnsi="Times New Roman"/>
                <w:sz w:val="20"/>
                <w:szCs w:val="20"/>
                <w:lang w:val="en-US"/>
              </w:rPr>
            </w:pPr>
            <w:r w:rsidRPr="00D906C3">
              <w:rPr>
                <w:rFonts w:ascii="Times New Roman" w:hAnsi="Times New Roman"/>
                <w:bCs/>
                <w:sz w:val="20"/>
                <w:szCs w:val="20"/>
                <w:lang w:val="en-US"/>
              </w:rPr>
              <w:t>Frederic S. Mishkin (2012) The Economics of Money, Banking and Financial Markets– Pearson Education; Global ed of 10th revised ed edition. 2012. – 520 с.</w:t>
            </w:r>
          </w:p>
          <w:p w:rsidR="00047CD4" w:rsidRPr="00D906C3" w:rsidRDefault="00047CD4" w:rsidP="00047CD4">
            <w:pPr>
              <w:pStyle w:val="a0"/>
              <w:numPr>
                <w:ilvl w:val="0"/>
                <w:numId w:val="2"/>
              </w:numPr>
              <w:spacing w:after="0" w:line="240" w:lineRule="auto"/>
              <w:jc w:val="both"/>
              <w:rPr>
                <w:rFonts w:ascii="Times New Roman" w:eastAsiaTheme="minorHAnsi" w:hAnsi="Times New Roman"/>
                <w:sz w:val="20"/>
                <w:szCs w:val="20"/>
                <w:lang w:val="en-US"/>
              </w:rPr>
            </w:pPr>
            <w:r w:rsidRPr="00D906C3">
              <w:rPr>
                <w:rFonts w:ascii="Times New Roman" w:hAnsi="Times New Roman"/>
                <w:bCs/>
                <w:sz w:val="20"/>
                <w:szCs w:val="20"/>
                <w:lang w:val="en-US"/>
              </w:rPr>
              <w:t>ZviBodie, Alex Kane, Alan J. Marcus (2012). Essentials of Investments, 9th Edition, TheMcgraw-Hill/Irwin, USA.​</w:t>
            </w:r>
          </w:p>
          <w:p w:rsidR="00076E2F" w:rsidRPr="00D906C3" w:rsidRDefault="00047CD4" w:rsidP="00076E2F">
            <w:pPr>
              <w:pStyle w:val="a0"/>
              <w:numPr>
                <w:ilvl w:val="0"/>
                <w:numId w:val="2"/>
              </w:numPr>
              <w:spacing w:after="0" w:line="240" w:lineRule="auto"/>
              <w:jc w:val="both"/>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Kidwell DS, Blackwell DW, Whidbee DA, Peterson RL (2008). Financial Institutions, Markets and Money, John Wiley &amp; Sons, Inc.</w:t>
            </w:r>
          </w:p>
        </w:tc>
      </w:tr>
      <w:tr w:rsidR="00076E2F" w:rsidRPr="00AC60E7" w:rsidTr="00AC60E7">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D906C3" w:rsidRDefault="00076E2F">
            <w:pPr>
              <w:spacing w:after="0" w:line="240" w:lineRule="auto"/>
              <w:rPr>
                <w:rFonts w:ascii="Times New Roman" w:eastAsiaTheme="minorHAnsi" w:hAnsi="Times New Roman"/>
                <w:sz w:val="24"/>
                <w:szCs w:val="24"/>
                <w:lang w:val="en-US"/>
              </w:rPr>
            </w:pPr>
            <w:r w:rsidRPr="00D906C3">
              <w:rPr>
                <w:rFonts w:ascii="Times New Roman" w:eastAsiaTheme="minorHAnsi" w:hAnsi="Times New Roman"/>
                <w:sz w:val="24"/>
                <w:szCs w:val="24"/>
                <w:lang w:val="en-US"/>
              </w:rPr>
              <w:lastRenderedPageBreak/>
              <w:t>Course Instructor</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D512D" w:rsidRPr="00D906C3" w:rsidRDefault="00D906C3">
            <w:pPr>
              <w:spacing w:after="0" w:line="240" w:lineRule="auto"/>
              <w:rPr>
                <w:rFonts w:ascii="Times New Roman" w:eastAsiaTheme="minorHAnsi" w:hAnsi="Times New Roman"/>
                <w:sz w:val="20"/>
                <w:szCs w:val="20"/>
                <w:lang w:val="en-US"/>
              </w:rPr>
            </w:pPr>
            <w:r w:rsidRPr="00D906C3">
              <w:rPr>
                <w:rFonts w:ascii="Times New Roman" w:eastAsiaTheme="minorHAnsi" w:hAnsi="Times New Roman"/>
                <w:sz w:val="20"/>
                <w:szCs w:val="20"/>
                <w:lang w:val="en-US"/>
              </w:rPr>
              <w:t>Dr. Darko Vukovic, Associate Professor of the Department of Finance</w:t>
            </w:r>
          </w:p>
        </w:tc>
      </w:tr>
    </w:tbl>
    <w:p w:rsidR="005146FC" w:rsidRDefault="005146FC" w:rsidP="00DD286A">
      <w:pPr>
        <w:spacing w:after="0" w:line="240" w:lineRule="auto"/>
        <w:jc w:val="center"/>
        <w:rPr>
          <w:rFonts w:ascii="Times New Roman" w:eastAsiaTheme="minorHAnsi" w:hAnsi="Times New Roman"/>
          <w:b/>
          <w:lang w:val="en-US"/>
        </w:rPr>
      </w:pPr>
    </w:p>
    <w:p w:rsidR="00D906C3" w:rsidRDefault="00D906C3" w:rsidP="00DD286A">
      <w:pPr>
        <w:spacing w:after="0" w:line="240" w:lineRule="auto"/>
        <w:jc w:val="center"/>
        <w:rPr>
          <w:rFonts w:ascii="Times New Roman" w:eastAsiaTheme="minorHAnsi" w:hAnsi="Times New Roman"/>
          <w:b/>
          <w:lang w:val="en-US"/>
        </w:rPr>
      </w:pPr>
      <w:bookmarkStart w:id="0" w:name="_GoBack"/>
      <w:bookmarkEnd w:id="0"/>
    </w:p>
    <w:sectPr w:rsidR="00D906C3" w:rsidSect="00AC60E7">
      <w:pgSz w:w="11910" w:h="16840"/>
      <w:pgMar w:top="1040" w:right="48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07" w:rsidRDefault="00603507" w:rsidP="00B16748">
      <w:pPr>
        <w:spacing w:after="0" w:line="240" w:lineRule="auto"/>
      </w:pPr>
      <w:r>
        <w:separator/>
      </w:r>
    </w:p>
  </w:endnote>
  <w:endnote w:type="continuationSeparator" w:id="0">
    <w:p w:rsidR="00603507" w:rsidRDefault="00603507"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07" w:rsidRDefault="00603507" w:rsidP="00B16748">
      <w:pPr>
        <w:spacing w:after="0" w:line="240" w:lineRule="auto"/>
      </w:pPr>
      <w:r>
        <w:separator/>
      </w:r>
    </w:p>
  </w:footnote>
  <w:footnote w:type="continuationSeparator" w:id="0">
    <w:p w:rsidR="00603507" w:rsidRDefault="00603507"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C37"/>
    <w:multiLevelType w:val="hybridMultilevel"/>
    <w:tmpl w:val="288876C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2E292191"/>
    <w:multiLevelType w:val="hybridMultilevel"/>
    <w:tmpl w:val="00E82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1940B9"/>
    <w:multiLevelType w:val="hybridMultilevel"/>
    <w:tmpl w:val="69E8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326A5"/>
    <w:rsid w:val="00036C2E"/>
    <w:rsid w:val="00047CD4"/>
    <w:rsid w:val="000768EC"/>
    <w:rsid w:val="00076E2F"/>
    <w:rsid w:val="001269F5"/>
    <w:rsid w:val="0019188F"/>
    <w:rsid w:val="001A1AB2"/>
    <w:rsid w:val="002049CD"/>
    <w:rsid w:val="00226480"/>
    <w:rsid w:val="00281019"/>
    <w:rsid w:val="002907B3"/>
    <w:rsid w:val="002C1A1A"/>
    <w:rsid w:val="0033665B"/>
    <w:rsid w:val="003967E9"/>
    <w:rsid w:val="003A57AC"/>
    <w:rsid w:val="003D390B"/>
    <w:rsid w:val="004A61DD"/>
    <w:rsid w:val="004B1D7A"/>
    <w:rsid w:val="005146FC"/>
    <w:rsid w:val="00554AD8"/>
    <w:rsid w:val="005552C7"/>
    <w:rsid w:val="0057785A"/>
    <w:rsid w:val="00586663"/>
    <w:rsid w:val="005B7B96"/>
    <w:rsid w:val="005D35E0"/>
    <w:rsid w:val="005F2EF2"/>
    <w:rsid w:val="005F6DC3"/>
    <w:rsid w:val="00603507"/>
    <w:rsid w:val="006A0D74"/>
    <w:rsid w:val="006C53CC"/>
    <w:rsid w:val="006E2F0C"/>
    <w:rsid w:val="00712F48"/>
    <w:rsid w:val="007617C3"/>
    <w:rsid w:val="00763008"/>
    <w:rsid w:val="00776AC4"/>
    <w:rsid w:val="00786FF3"/>
    <w:rsid w:val="007A2171"/>
    <w:rsid w:val="007D12B8"/>
    <w:rsid w:val="007E4B7C"/>
    <w:rsid w:val="007F3922"/>
    <w:rsid w:val="00850ED5"/>
    <w:rsid w:val="008A486A"/>
    <w:rsid w:val="008D0B61"/>
    <w:rsid w:val="008F5A24"/>
    <w:rsid w:val="00931577"/>
    <w:rsid w:val="009831D1"/>
    <w:rsid w:val="009E7BB5"/>
    <w:rsid w:val="009F7CA4"/>
    <w:rsid w:val="00A117EB"/>
    <w:rsid w:val="00AA4C8A"/>
    <w:rsid w:val="00AC60E7"/>
    <w:rsid w:val="00B15888"/>
    <w:rsid w:val="00B16748"/>
    <w:rsid w:val="00B67A8D"/>
    <w:rsid w:val="00BD512D"/>
    <w:rsid w:val="00C23518"/>
    <w:rsid w:val="00C42A27"/>
    <w:rsid w:val="00C45BF6"/>
    <w:rsid w:val="00C47752"/>
    <w:rsid w:val="00C97C33"/>
    <w:rsid w:val="00CD0D00"/>
    <w:rsid w:val="00CF1EB8"/>
    <w:rsid w:val="00D4158C"/>
    <w:rsid w:val="00D85442"/>
    <w:rsid w:val="00D906C3"/>
    <w:rsid w:val="00DB57AC"/>
    <w:rsid w:val="00DD286A"/>
    <w:rsid w:val="00E51F03"/>
    <w:rsid w:val="00E65DCD"/>
    <w:rsid w:val="00E66BE7"/>
    <w:rsid w:val="00E939DF"/>
    <w:rsid w:val="00EB63A7"/>
    <w:rsid w:val="00ED1DC8"/>
    <w:rsid w:val="00ED34F0"/>
    <w:rsid w:val="00F00892"/>
    <w:rsid w:val="00F064BA"/>
    <w:rsid w:val="00F177CB"/>
    <w:rsid w:val="00F501E8"/>
    <w:rsid w:val="00FC7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5EFBC-373A-4DBB-A744-ACFFAACB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191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paragraph" w:customStyle="1" w:styleId="Default">
    <w:name w:val="Default"/>
    <w:rsid w:val="005146FC"/>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Normal1">
    <w:name w:val="Table Normal1"/>
    <w:uiPriority w:val="2"/>
    <w:semiHidden/>
    <w:unhideWhenUsed/>
    <w:qFormat/>
    <w:rsid w:val="00D906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06C3"/>
    <w:pPr>
      <w:widowControl w:val="0"/>
      <w:autoSpaceDE w:val="0"/>
      <w:autoSpaceDN w:val="0"/>
      <w:spacing w:after="0" w:line="240" w:lineRule="auto"/>
      <w:ind w:left="107"/>
    </w:pPr>
    <w:rPr>
      <w:rFonts w:ascii="Times New Roman" w:eastAsia="Times New Roman" w:hAnsi="Times New Roman"/>
      <w:lang w:eastAsia="ru-RU" w:bidi="ru-RU"/>
    </w:rPr>
  </w:style>
  <w:style w:type="character" w:customStyle="1" w:styleId="20">
    <w:name w:val="Заголовок 2 Знак"/>
    <w:basedOn w:val="a1"/>
    <w:link w:val="2"/>
    <w:uiPriority w:val="9"/>
    <w:semiHidden/>
    <w:rsid w:val="0019188F"/>
    <w:rPr>
      <w:rFonts w:asciiTheme="majorHAnsi" w:eastAsiaTheme="majorEastAsia" w:hAnsiTheme="majorHAnsi" w:cstheme="majorBidi"/>
      <w:b/>
      <w:bCs/>
      <w:color w:val="4F81BD" w:themeColor="accent1"/>
      <w:sz w:val="26"/>
      <w:szCs w:val="26"/>
    </w:rPr>
  </w:style>
  <w:style w:type="paragraph" w:styleId="a8">
    <w:name w:val="Body Text"/>
    <w:basedOn w:val="a"/>
    <w:link w:val="a9"/>
    <w:uiPriority w:val="1"/>
    <w:qFormat/>
    <w:rsid w:val="0019188F"/>
    <w:pPr>
      <w:widowControl w:val="0"/>
      <w:autoSpaceDE w:val="0"/>
      <w:autoSpaceDN w:val="0"/>
      <w:spacing w:after="0" w:line="240" w:lineRule="auto"/>
    </w:pPr>
    <w:rPr>
      <w:rFonts w:ascii="Times New Roman" w:eastAsia="Times New Roman" w:hAnsi="Times New Roman"/>
      <w:sz w:val="23"/>
      <w:szCs w:val="23"/>
      <w:lang w:eastAsia="ru-RU" w:bidi="ru-RU"/>
    </w:rPr>
  </w:style>
  <w:style w:type="character" w:customStyle="1" w:styleId="a9">
    <w:name w:val="Основной текст Знак"/>
    <w:basedOn w:val="a1"/>
    <w:link w:val="a8"/>
    <w:uiPriority w:val="1"/>
    <w:rsid w:val="0019188F"/>
    <w:rPr>
      <w:rFonts w:ascii="Times New Roman" w:eastAsia="Times New Roman" w:hAnsi="Times New Roman" w:cs="Times New Roman"/>
      <w:sz w:val="23"/>
      <w:szCs w:val="23"/>
      <w:lang w:eastAsia="ru-RU" w:bidi="ru-RU"/>
    </w:rPr>
  </w:style>
  <w:style w:type="character" w:styleId="aa">
    <w:name w:val="Hyperlink"/>
    <w:basedOn w:val="a1"/>
    <w:uiPriority w:val="99"/>
    <w:unhideWhenUsed/>
    <w:rsid w:val="006C5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 СПб</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Кракович Виктор Валерьевич</cp:lastModifiedBy>
  <cp:revision>2</cp:revision>
  <cp:lastPrinted>2016-12-26T08:05:00Z</cp:lastPrinted>
  <dcterms:created xsi:type="dcterms:W3CDTF">2019-03-05T12:38:00Z</dcterms:created>
  <dcterms:modified xsi:type="dcterms:W3CDTF">2019-03-05T12:38:00Z</dcterms:modified>
</cp:coreProperties>
</file>