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79" w:rsidRPr="00313418" w:rsidRDefault="00B2506F" w:rsidP="00B2506F">
      <w:pPr>
        <w:spacing w:after="0" w:line="240" w:lineRule="auto"/>
        <w:jc w:val="center"/>
        <w:outlineLvl w:val="0"/>
        <w:rPr>
          <w:rFonts w:ascii="Times New Roman" w:hAnsi="Times New Roman"/>
          <w:b/>
          <w:sz w:val="24"/>
          <w:szCs w:val="24"/>
          <w:lang w:val="en-US"/>
        </w:rPr>
      </w:pPr>
      <w:r w:rsidRPr="00B2506F">
        <w:rPr>
          <w:rFonts w:ascii="Times New Roman" w:eastAsiaTheme="minorHAnsi" w:hAnsi="Times New Roman"/>
          <w:color w:val="000000"/>
          <w:sz w:val="24"/>
          <w:szCs w:val="24"/>
        </w:rPr>
        <w:t xml:space="preserve"> </w:t>
      </w:r>
      <w:r w:rsidR="00313418">
        <w:rPr>
          <w:rFonts w:ascii="Times New Roman" w:eastAsiaTheme="minorHAnsi" w:hAnsi="Times New Roman"/>
          <w:b/>
          <w:bCs/>
          <w:color w:val="000000"/>
          <w:sz w:val="23"/>
          <w:szCs w:val="23"/>
          <w:lang w:val="en-US"/>
        </w:rPr>
        <w:t>CRITICAL THEORY</w:t>
      </w:r>
    </w:p>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9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86"/>
        <w:gridCol w:w="1637"/>
        <w:gridCol w:w="630"/>
        <w:gridCol w:w="1074"/>
        <w:gridCol w:w="1134"/>
        <w:gridCol w:w="202"/>
        <w:gridCol w:w="932"/>
        <w:gridCol w:w="1704"/>
      </w:tblGrid>
      <w:tr w:rsidR="00081179" w:rsidRPr="00E83010" w:rsidTr="00313418">
        <w:tc>
          <w:tcPr>
            <w:tcW w:w="2611" w:type="dxa"/>
            <w:gridSpan w:val="2"/>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313" w:type="dxa"/>
            <w:gridSpan w:val="7"/>
            <w:shd w:val="clear" w:color="auto" w:fill="92CDDC" w:themeFill="accent5" w:themeFillTint="99"/>
            <w:tcMar>
              <w:top w:w="57" w:type="dxa"/>
              <w:left w:w="57" w:type="dxa"/>
              <w:bottom w:w="57" w:type="dxa"/>
              <w:right w:w="57" w:type="dxa"/>
            </w:tcMar>
          </w:tcPr>
          <w:p w:rsidR="00081179" w:rsidRDefault="00313418" w:rsidP="00081179">
            <w:pPr>
              <w:spacing w:after="0" w:line="240" w:lineRule="auto"/>
              <w:rPr>
                <w:rFonts w:ascii="Times New Roman" w:hAnsi="Times New Roman"/>
                <w:b/>
                <w:sz w:val="24"/>
                <w:szCs w:val="24"/>
                <w:lang w:val="en-US"/>
              </w:rPr>
            </w:pPr>
            <w:r>
              <w:rPr>
                <w:rFonts w:ascii="Times New Roman" w:hAnsi="Times New Roman"/>
                <w:b/>
                <w:sz w:val="24"/>
                <w:szCs w:val="24"/>
                <w:lang w:val="en-US"/>
              </w:rPr>
              <w:t>Critical Theory</w:t>
            </w:r>
          </w:p>
        </w:tc>
      </w:tr>
      <w:tr w:rsidR="00081179" w:rsidRPr="00E83010" w:rsidTr="00313418">
        <w:tc>
          <w:tcPr>
            <w:tcW w:w="2611" w:type="dxa"/>
            <w:gridSpan w:val="2"/>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313" w:type="dxa"/>
            <w:gridSpan w:val="7"/>
            <w:shd w:val="clear" w:color="auto" w:fill="B6DDE8" w:themeFill="accent5" w:themeFillTint="66"/>
            <w:tcMar>
              <w:top w:w="57" w:type="dxa"/>
              <w:left w:w="57" w:type="dxa"/>
              <w:bottom w:w="57" w:type="dxa"/>
              <w:right w:w="57" w:type="dxa"/>
            </w:tcMar>
            <w:vAlign w:val="center"/>
          </w:tcPr>
          <w:p w:rsidR="00081179" w:rsidRDefault="00081179" w:rsidP="00081179">
            <w:pPr>
              <w:spacing w:after="0" w:line="240" w:lineRule="auto"/>
              <w:rPr>
                <w:rFonts w:ascii="Times New Roman" w:hAnsi="Times New Roman"/>
                <w:sz w:val="24"/>
                <w:szCs w:val="24"/>
                <w:lang w:val="en-US"/>
              </w:rPr>
            </w:pPr>
            <w:r>
              <w:rPr>
                <w:rFonts w:ascii="Times New Roman" w:hAnsi="Times New Roman"/>
                <w:sz w:val="24"/>
                <w:szCs w:val="24"/>
                <w:lang w:val="en-US"/>
              </w:rPr>
              <w:t>Philology</w:t>
            </w:r>
          </w:p>
        </w:tc>
      </w:tr>
      <w:tr w:rsidR="00081179" w:rsidRPr="00D4693C" w:rsidTr="00313418">
        <w:tc>
          <w:tcPr>
            <w:tcW w:w="2611" w:type="dxa"/>
            <w:gridSpan w:val="2"/>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Pr>
                <w:rStyle w:val="a6"/>
                <w:rFonts w:ascii="Times New Roman" w:eastAsiaTheme="minorHAnsi" w:hAnsi="Times New Roman"/>
                <w:sz w:val="24"/>
                <w:szCs w:val="24"/>
                <w:lang w:val="en-US"/>
              </w:rPr>
              <w:footnoteReference w:id="1"/>
            </w:r>
          </w:p>
        </w:tc>
        <w:tc>
          <w:tcPr>
            <w:tcW w:w="7313" w:type="dxa"/>
            <w:gridSpan w:val="7"/>
            <w:shd w:val="clear" w:color="auto" w:fill="B6DDE8" w:themeFill="accent5" w:themeFillTint="66"/>
            <w:tcMar>
              <w:top w:w="57" w:type="dxa"/>
              <w:left w:w="57" w:type="dxa"/>
              <w:bottom w:w="57" w:type="dxa"/>
              <w:right w:w="57" w:type="dxa"/>
            </w:tcMar>
            <w:vAlign w:val="center"/>
          </w:tcPr>
          <w:p w:rsidR="00081179" w:rsidRDefault="00081179" w:rsidP="00081179">
            <w:pPr>
              <w:spacing w:after="0" w:line="240" w:lineRule="auto"/>
              <w:rPr>
                <w:rFonts w:ascii="Times New Roman" w:hAnsi="Times New Roman"/>
                <w:sz w:val="24"/>
                <w:szCs w:val="24"/>
                <w:lang w:val="en-US"/>
              </w:rPr>
            </w:pPr>
            <w:r>
              <w:rPr>
                <w:rFonts w:ascii="Times New Roman" w:hAnsi="Times New Roman"/>
                <w:sz w:val="24"/>
                <w:szCs w:val="24"/>
                <w:lang w:val="en-US"/>
              </w:rPr>
              <w:t>Elective</w:t>
            </w:r>
          </w:p>
        </w:tc>
      </w:tr>
      <w:tr w:rsidR="00081179" w:rsidRPr="00E83010" w:rsidTr="00313418">
        <w:trPr>
          <w:trHeight w:val="230"/>
        </w:trPr>
        <w:tc>
          <w:tcPr>
            <w:tcW w:w="2611" w:type="dxa"/>
            <w:gridSpan w:val="2"/>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313" w:type="dxa"/>
            <w:gridSpan w:val="7"/>
            <w:shd w:val="clear" w:color="auto" w:fill="B6DDE8" w:themeFill="accent5" w:themeFillTint="66"/>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4854"/>
            </w:tblGrid>
            <w:tr w:rsidR="00313418" w:rsidRPr="00313418">
              <w:tblPrEx>
                <w:tblCellMar>
                  <w:top w:w="0" w:type="dxa"/>
                  <w:bottom w:w="0" w:type="dxa"/>
                </w:tblCellMar>
              </w:tblPrEx>
              <w:trPr>
                <w:trHeight w:val="109"/>
              </w:trPr>
              <w:tc>
                <w:tcPr>
                  <w:tcW w:w="4854" w:type="dxa"/>
                </w:tcPr>
                <w:p w:rsidR="00313418" w:rsidRPr="00313418" w:rsidRDefault="00313418" w:rsidP="00313418">
                  <w:pPr>
                    <w:autoSpaceDE w:val="0"/>
                    <w:autoSpaceDN w:val="0"/>
                    <w:adjustRightInd w:val="0"/>
                    <w:spacing w:after="0" w:line="240" w:lineRule="auto"/>
                    <w:ind w:right="-2085"/>
                    <w:rPr>
                      <w:rFonts w:ascii="Times New Roman" w:eastAsiaTheme="minorHAnsi" w:hAnsi="Times New Roman"/>
                      <w:color w:val="000000"/>
                      <w:sz w:val="23"/>
                      <w:szCs w:val="23"/>
                      <w:lang w:val="en-US"/>
                    </w:rPr>
                  </w:pPr>
                  <w:r w:rsidRPr="00313418">
                    <w:rPr>
                      <w:rFonts w:ascii="Times New Roman" w:eastAsiaTheme="minorHAnsi" w:hAnsi="Times New Roman"/>
                      <w:color w:val="000000"/>
                      <w:sz w:val="24"/>
                      <w:szCs w:val="24"/>
                      <w:lang w:val="en-US"/>
                    </w:rPr>
                    <w:t xml:space="preserve"> </w:t>
                  </w:r>
                  <w:r w:rsidRPr="00313418">
                    <w:rPr>
                      <w:rFonts w:ascii="Times New Roman" w:eastAsiaTheme="minorHAnsi" w:hAnsi="Times New Roman"/>
                      <w:color w:val="000000"/>
                      <w:sz w:val="23"/>
                      <w:szCs w:val="23"/>
                      <w:lang w:val="en-US"/>
                    </w:rPr>
                    <w:t xml:space="preserve">Ability to read difficult theoretical texts in English </w:t>
                  </w:r>
                </w:p>
              </w:tc>
            </w:tr>
          </w:tbl>
          <w:p w:rsidR="00081179" w:rsidRPr="001B10B0" w:rsidRDefault="00081179" w:rsidP="00081179">
            <w:pPr>
              <w:spacing w:after="0" w:line="240" w:lineRule="auto"/>
              <w:rPr>
                <w:rFonts w:ascii="Arial" w:eastAsia="MS Mincho" w:hAnsi="Arial" w:cs="Arial"/>
                <w:sz w:val="17"/>
                <w:szCs w:val="17"/>
                <w:lang w:val="en-US" w:eastAsia="ja-JP"/>
              </w:rPr>
            </w:pPr>
          </w:p>
        </w:tc>
      </w:tr>
      <w:tr w:rsidR="00081179" w:rsidRPr="00C42A27" w:rsidTr="00313418">
        <w:trPr>
          <w:trHeight w:val="230"/>
        </w:trPr>
        <w:tc>
          <w:tcPr>
            <w:tcW w:w="2611" w:type="dxa"/>
            <w:gridSpan w:val="2"/>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313" w:type="dxa"/>
            <w:gridSpan w:val="7"/>
            <w:shd w:val="clear" w:color="auto" w:fill="B6DDE8" w:themeFill="accent5" w:themeFillTint="66"/>
            <w:tcMar>
              <w:top w:w="57" w:type="dxa"/>
              <w:left w:w="57" w:type="dxa"/>
              <w:bottom w:w="57" w:type="dxa"/>
              <w:right w:w="57" w:type="dxa"/>
            </w:tcMar>
          </w:tcPr>
          <w:p w:rsidR="00081179" w:rsidRDefault="00081179" w:rsidP="00081179">
            <w:pPr>
              <w:spacing w:after="0" w:line="240" w:lineRule="auto"/>
              <w:rPr>
                <w:rFonts w:ascii="Times New Roman" w:hAnsi="Times New Roman"/>
                <w:sz w:val="24"/>
                <w:szCs w:val="24"/>
                <w:lang w:val="en-US"/>
              </w:rPr>
            </w:pPr>
            <w:r>
              <w:rPr>
                <w:rFonts w:ascii="Times New Roman" w:hAnsi="Times New Roman"/>
                <w:sz w:val="24"/>
                <w:szCs w:val="24"/>
                <w:lang w:val="en-US"/>
              </w:rPr>
              <w:t>4</w:t>
            </w:r>
          </w:p>
        </w:tc>
      </w:tr>
      <w:tr w:rsidR="00E83010" w:rsidTr="00313418">
        <w:trPr>
          <w:trHeight w:val="217"/>
        </w:trPr>
        <w:tc>
          <w:tcPr>
            <w:tcW w:w="2611" w:type="dxa"/>
            <w:gridSpan w:val="2"/>
            <w:vMerge w:val="restart"/>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7" w:type="dxa"/>
            <w:gridSpan w:val="2"/>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gridSpan w:val="3"/>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636" w:type="dxa"/>
            <w:gridSpan w:val="2"/>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310A0E" w:rsidTr="00313418">
        <w:trPr>
          <w:trHeight w:val="216"/>
        </w:trPr>
        <w:tc>
          <w:tcPr>
            <w:tcW w:w="2611" w:type="dxa"/>
            <w:gridSpan w:val="2"/>
            <w:vMerge/>
            <w:vAlign w:val="center"/>
            <w:hideMark/>
          </w:tcPr>
          <w:p w:rsidR="00310A0E" w:rsidRDefault="00310A0E" w:rsidP="00310A0E">
            <w:pPr>
              <w:spacing w:after="0" w:line="240" w:lineRule="auto"/>
              <w:rPr>
                <w:rFonts w:ascii="Times New Roman" w:eastAsiaTheme="minorHAnsi" w:hAnsi="Times New Roman"/>
                <w:sz w:val="24"/>
                <w:szCs w:val="24"/>
                <w:lang w:val="en-US"/>
              </w:rPr>
            </w:pPr>
          </w:p>
        </w:tc>
        <w:tc>
          <w:tcPr>
            <w:tcW w:w="2267" w:type="dxa"/>
            <w:gridSpan w:val="2"/>
            <w:tcMar>
              <w:top w:w="57" w:type="dxa"/>
              <w:left w:w="57" w:type="dxa"/>
              <w:bottom w:w="57" w:type="dxa"/>
              <w:right w:w="57" w:type="dxa"/>
            </w:tcMar>
          </w:tcPr>
          <w:p w:rsidR="00310A0E" w:rsidRPr="00313418" w:rsidRDefault="00313418" w:rsidP="00310A0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46</w:t>
            </w:r>
          </w:p>
        </w:tc>
        <w:tc>
          <w:tcPr>
            <w:tcW w:w="2410" w:type="dxa"/>
            <w:gridSpan w:val="3"/>
          </w:tcPr>
          <w:p w:rsidR="00310A0E" w:rsidRPr="00313418" w:rsidRDefault="00313418" w:rsidP="00310A0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152</w:t>
            </w:r>
          </w:p>
        </w:tc>
        <w:tc>
          <w:tcPr>
            <w:tcW w:w="2636" w:type="dxa"/>
            <w:gridSpan w:val="2"/>
          </w:tcPr>
          <w:p w:rsidR="00310A0E" w:rsidRPr="00313418" w:rsidRDefault="00313418" w:rsidP="00310A0E">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106</w:t>
            </w:r>
          </w:p>
        </w:tc>
      </w:tr>
      <w:tr w:rsidR="00E83010" w:rsidRPr="00081179" w:rsidTr="00313418">
        <w:tc>
          <w:tcPr>
            <w:tcW w:w="2611" w:type="dxa"/>
            <w:gridSpan w:val="2"/>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313" w:type="dxa"/>
            <w:gridSpan w:val="7"/>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120"/>
            </w:tblGrid>
            <w:tr w:rsidR="00B2506F" w:rsidRPr="00B2506F">
              <w:tblPrEx>
                <w:tblCellMar>
                  <w:top w:w="0" w:type="dxa"/>
                  <w:bottom w:w="0" w:type="dxa"/>
                </w:tblCellMar>
              </w:tblPrEx>
              <w:trPr>
                <w:trHeight w:val="1220"/>
              </w:trPr>
              <w:tc>
                <w:tcPr>
                  <w:tcW w:w="7120" w:type="dxa"/>
                </w:tcPr>
                <w:tbl>
                  <w:tblPr>
                    <w:tblW w:w="7107" w:type="dxa"/>
                    <w:tblBorders>
                      <w:top w:val="nil"/>
                      <w:left w:val="nil"/>
                      <w:bottom w:val="nil"/>
                      <w:right w:val="nil"/>
                    </w:tblBorders>
                    <w:tblLayout w:type="fixed"/>
                    <w:tblLook w:val="0000" w:firstRow="0" w:lastRow="0" w:firstColumn="0" w:lastColumn="0" w:noHBand="0" w:noVBand="0"/>
                  </w:tblPr>
                  <w:tblGrid>
                    <w:gridCol w:w="7107"/>
                  </w:tblGrid>
                  <w:tr w:rsidR="00B2506F" w:rsidRPr="00B2506F" w:rsidTr="00B2506F">
                    <w:tblPrEx>
                      <w:tblCellMar>
                        <w:top w:w="0" w:type="dxa"/>
                        <w:bottom w:w="0" w:type="dxa"/>
                      </w:tblCellMar>
                    </w:tblPrEx>
                    <w:trPr>
                      <w:trHeight w:val="3558"/>
                    </w:trPr>
                    <w:tc>
                      <w:tcPr>
                        <w:tcW w:w="7107" w:type="dxa"/>
                      </w:tcPr>
                      <w:tbl>
                        <w:tblPr>
                          <w:tblW w:w="7112" w:type="dxa"/>
                          <w:tblBorders>
                            <w:top w:val="nil"/>
                            <w:left w:val="nil"/>
                            <w:bottom w:val="nil"/>
                            <w:right w:val="nil"/>
                          </w:tblBorders>
                          <w:tblLayout w:type="fixed"/>
                          <w:tblLook w:val="0000" w:firstRow="0" w:lastRow="0" w:firstColumn="0" w:lastColumn="0" w:noHBand="0" w:noVBand="0"/>
                        </w:tblPr>
                        <w:tblGrid>
                          <w:gridCol w:w="7112"/>
                        </w:tblGrid>
                        <w:tr w:rsidR="00313418" w:rsidRPr="00313418" w:rsidTr="00313418">
                          <w:tblPrEx>
                            <w:tblCellMar>
                              <w:top w:w="0" w:type="dxa"/>
                              <w:bottom w:w="0" w:type="dxa"/>
                            </w:tblCellMar>
                          </w:tblPrEx>
                          <w:trPr>
                            <w:trHeight w:val="2317"/>
                          </w:trPr>
                          <w:tc>
                            <w:tcPr>
                              <w:tcW w:w="7112" w:type="dxa"/>
                            </w:tcPr>
                            <w:p w:rsidR="00313418" w:rsidRPr="00313418" w:rsidRDefault="00B2506F" w:rsidP="00313418">
                              <w:p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3"/>
                                  <w:szCs w:val="23"/>
                                  <w:lang w:val="en-US"/>
                                </w:rPr>
                                <w:t xml:space="preserve"> </w:t>
                              </w:r>
                              <w:r w:rsidR="00313418" w:rsidRPr="00313418">
                                <w:rPr>
                                  <w:rFonts w:ascii="Times New Roman" w:eastAsiaTheme="minorHAnsi" w:hAnsi="Times New Roman"/>
                                  <w:color w:val="000000"/>
                                  <w:sz w:val="24"/>
                                  <w:szCs w:val="24"/>
                                  <w:lang w:val="en-US"/>
                                </w:rPr>
                                <w:t xml:space="preserve"> </w:t>
                              </w:r>
                              <w:r w:rsidR="00313418" w:rsidRPr="00313418">
                                <w:rPr>
                                  <w:rFonts w:ascii="Times New Roman" w:eastAsiaTheme="minorHAnsi" w:hAnsi="Times New Roman"/>
                                  <w:color w:val="000000"/>
                                  <w:sz w:val="23"/>
                                  <w:szCs w:val="23"/>
                                  <w:lang w:val="en-US"/>
                                </w:rPr>
                                <w:t xml:space="preserve">This course serves as an introduction to the ideas of some of the most important thinkers in the broad and dynamic field of modern “critical theory.” Topics we will explore include: the mechanisms of ideology, the history of knowledge, the instability of signifying systems, conceptions of the social imaginary, the interrelationship between culture and imperialism, psychoanalysis and the subject under “late capitalism,” as well as theories of the “post-human.” We will examine theorists such as </w:t>
                              </w:r>
                              <w:proofErr w:type="spellStart"/>
                              <w:r w:rsidR="00313418" w:rsidRPr="00313418">
                                <w:rPr>
                                  <w:rFonts w:ascii="Times New Roman" w:eastAsiaTheme="minorHAnsi" w:hAnsi="Times New Roman"/>
                                  <w:color w:val="000000"/>
                                  <w:sz w:val="23"/>
                                  <w:szCs w:val="23"/>
                                  <w:lang w:val="en-US"/>
                                </w:rPr>
                                <w:t>Slavoj</w:t>
                              </w:r>
                              <w:proofErr w:type="spellEnd"/>
                              <w:r w:rsidR="00313418" w:rsidRPr="00313418">
                                <w:rPr>
                                  <w:rFonts w:ascii="Times New Roman" w:eastAsiaTheme="minorHAnsi" w:hAnsi="Times New Roman"/>
                                  <w:color w:val="000000"/>
                                  <w:sz w:val="23"/>
                                  <w:szCs w:val="23"/>
                                  <w:lang w:val="en-US"/>
                                </w:rPr>
                                <w:t xml:space="preserve"> </w:t>
                              </w:r>
                              <w:proofErr w:type="spellStart"/>
                              <w:r w:rsidR="00313418" w:rsidRPr="00313418">
                                <w:rPr>
                                  <w:rFonts w:ascii="Times New Roman" w:eastAsiaTheme="minorHAnsi" w:hAnsi="Times New Roman"/>
                                  <w:color w:val="000000"/>
                                  <w:sz w:val="23"/>
                                  <w:szCs w:val="23"/>
                                  <w:lang w:val="en-US"/>
                                </w:rPr>
                                <w:t>Žižek</w:t>
                              </w:r>
                              <w:proofErr w:type="spellEnd"/>
                              <w:r w:rsidR="00313418" w:rsidRPr="00313418">
                                <w:rPr>
                                  <w:rFonts w:ascii="Times New Roman" w:eastAsiaTheme="minorHAnsi" w:hAnsi="Times New Roman"/>
                                  <w:color w:val="000000"/>
                                  <w:sz w:val="23"/>
                                  <w:szCs w:val="23"/>
                                  <w:lang w:val="en-US"/>
                                </w:rPr>
                                <w:t xml:space="preserve">, Michel Foucault, Jacques Derrida, Benedict Anderson, Georges </w:t>
                              </w:r>
                              <w:proofErr w:type="spellStart"/>
                              <w:r w:rsidR="00313418" w:rsidRPr="00313418">
                                <w:rPr>
                                  <w:rFonts w:ascii="Times New Roman" w:eastAsiaTheme="minorHAnsi" w:hAnsi="Times New Roman"/>
                                  <w:color w:val="000000"/>
                                  <w:sz w:val="23"/>
                                  <w:szCs w:val="23"/>
                                  <w:lang w:val="en-US"/>
                                </w:rPr>
                                <w:t>Bataille</w:t>
                              </w:r>
                              <w:proofErr w:type="spellEnd"/>
                              <w:r w:rsidR="00313418" w:rsidRPr="00313418">
                                <w:rPr>
                                  <w:rFonts w:ascii="Times New Roman" w:eastAsiaTheme="minorHAnsi" w:hAnsi="Times New Roman"/>
                                  <w:color w:val="000000"/>
                                  <w:sz w:val="23"/>
                                  <w:szCs w:val="23"/>
                                  <w:lang w:val="en-US"/>
                                </w:rPr>
                                <w:t xml:space="preserve">, Edward Said, Jean </w:t>
                              </w:r>
                              <w:proofErr w:type="spellStart"/>
                              <w:r w:rsidR="00313418" w:rsidRPr="00313418">
                                <w:rPr>
                                  <w:rFonts w:ascii="Times New Roman" w:eastAsiaTheme="minorHAnsi" w:hAnsi="Times New Roman"/>
                                  <w:color w:val="000000"/>
                                  <w:sz w:val="23"/>
                                  <w:szCs w:val="23"/>
                                  <w:lang w:val="en-US"/>
                                </w:rPr>
                                <w:t>Baudrillard</w:t>
                              </w:r>
                              <w:proofErr w:type="spellEnd"/>
                              <w:r w:rsidR="00313418" w:rsidRPr="00313418">
                                <w:rPr>
                                  <w:rFonts w:ascii="Times New Roman" w:eastAsiaTheme="minorHAnsi" w:hAnsi="Times New Roman"/>
                                  <w:color w:val="000000"/>
                                  <w:sz w:val="23"/>
                                  <w:szCs w:val="23"/>
                                  <w:lang w:val="en-US"/>
                                </w:rPr>
                                <w:t xml:space="preserve">, Sigmund Freud, Jacques </w:t>
                              </w:r>
                              <w:proofErr w:type="spellStart"/>
                              <w:r w:rsidR="00313418" w:rsidRPr="00313418">
                                <w:rPr>
                                  <w:rFonts w:ascii="Times New Roman" w:eastAsiaTheme="minorHAnsi" w:hAnsi="Times New Roman"/>
                                  <w:color w:val="000000"/>
                                  <w:sz w:val="23"/>
                                  <w:szCs w:val="23"/>
                                  <w:lang w:val="en-US"/>
                                </w:rPr>
                                <w:t>Lacan</w:t>
                              </w:r>
                              <w:proofErr w:type="spellEnd"/>
                              <w:r w:rsidR="00313418" w:rsidRPr="00313418">
                                <w:rPr>
                                  <w:rFonts w:ascii="Times New Roman" w:eastAsiaTheme="minorHAnsi" w:hAnsi="Times New Roman"/>
                                  <w:color w:val="000000"/>
                                  <w:sz w:val="23"/>
                                  <w:szCs w:val="23"/>
                                  <w:lang w:val="en-US"/>
                                </w:rPr>
                                <w:t xml:space="preserve">, </w:t>
                              </w:r>
                              <w:proofErr w:type="spellStart"/>
                              <w:r w:rsidR="00313418" w:rsidRPr="00313418">
                                <w:rPr>
                                  <w:rFonts w:ascii="Times New Roman" w:eastAsiaTheme="minorHAnsi" w:hAnsi="Times New Roman"/>
                                  <w:color w:val="000000"/>
                                  <w:sz w:val="23"/>
                                  <w:szCs w:val="23"/>
                                  <w:lang w:val="en-US"/>
                                </w:rPr>
                                <w:t>Deleuze</w:t>
                              </w:r>
                              <w:proofErr w:type="spellEnd"/>
                              <w:r w:rsidR="00313418" w:rsidRPr="00313418">
                                <w:rPr>
                                  <w:rFonts w:ascii="Times New Roman" w:eastAsiaTheme="minorHAnsi" w:hAnsi="Times New Roman"/>
                                  <w:color w:val="000000"/>
                                  <w:sz w:val="23"/>
                                  <w:szCs w:val="23"/>
                                  <w:lang w:val="en-US"/>
                                </w:rPr>
                                <w:t xml:space="preserve"> and </w:t>
                              </w:r>
                              <w:proofErr w:type="spellStart"/>
                              <w:r w:rsidR="00313418" w:rsidRPr="00313418">
                                <w:rPr>
                                  <w:rFonts w:ascii="Times New Roman" w:eastAsiaTheme="minorHAnsi" w:hAnsi="Times New Roman"/>
                                  <w:color w:val="000000"/>
                                  <w:sz w:val="23"/>
                                  <w:szCs w:val="23"/>
                                  <w:lang w:val="en-US"/>
                                </w:rPr>
                                <w:t>Guatarri</w:t>
                              </w:r>
                              <w:proofErr w:type="spellEnd"/>
                              <w:r w:rsidR="00313418" w:rsidRPr="00313418">
                                <w:rPr>
                                  <w:rFonts w:ascii="Times New Roman" w:eastAsiaTheme="minorHAnsi" w:hAnsi="Times New Roman"/>
                                  <w:color w:val="000000"/>
                                  <w:sz w:val="23"/>
                                  <w:szCs w:val="23"/>
                                  <w:lang w:val="en-US"/>
                                </w:rPr>
                                <w:t xml:space="preserve">, </w:t>
                              </w:r>
                              <w:proofErr w:type="spellStart"/>
                              <w:r w:rsidR="00313418" w:rsidRPr="00313418">
                                <w:rPr>
                                  <w:rFonts w:ascii="Times New Roman" w:eastAsiaTheme="minorHAnsi" w:hAnsi="Times New Roman"/>
                                  <w:color w:val="000000"/>
                                  <w:sz w:val="23"/>
                                  <w:szCs w:val="23"/>
                                  <w:lang w:val="en-US"/>
                                </w:rPr>
                                <w:t>Gayatri</w:t>
                              </w:r>
                              <w:proofErr w:type="spellEnd"/>
                              <w:r w:rsidR="00313418" w:rsidRPr="00313418">
                                <w:rPr>
                                  <w:rFonts w:ascii="Times New Roman" w:eastAsiaTheme="minorHAnsi" w:hAnsi="Times New Roman"/>
                                  <w:color w:val="000000"/>
                                  <w:sz w:val="23"/>
                                  <w:szCs w:val="23"/>
                                  <w:lang w:val="en-US"/>
                                </w:rPr>
                                <w:t xml:space="preserve"> </w:t>
                              </w:r>
                              <w:proofErr w:type="spellStart"/>
                              <w:r w:rsidR="00313418" w:rsidRPr="00313418">
                                <w:rPr>
                                  <w:rFonts w:ascii="Times New Roman" w:eastAsiaTheme="minorHAnsi" w:hAnsi="Times New Roman"/>
                                  <w:color w:val="000000"/>
                                  <w:sz w:val="23"/>
                                  <w:szCs w:val="23"/>
                                  <w:lang w:val="en-US"/>
                                </w:rPr>
                                <w:t>Spivak</w:t>
                              </w:r>
                              <w:proofErr w:type="spellEnd"/>
                              <w:r w:rsidR="00313418" w:rsidRPr="00313418">
                                <w:rPr>
                                  <w:rFonts w:ascii="Times New Roman" w:eastAsiaTheme="minorHAnsi" w:hAnsi="Times New Roman"/>
                                  <w:color w:val="000000"/>
                                  <w:sz w:val="23"/>
                                  <w:szCs w:val="23"/>
                                  <w:lang w:val="en-US"/>
                                </w:rPr>
                                <w:t xml:space="preserve">, Judith Butler, Donna </w:t>
                              </w:r>
                              <w:proofErr w:type="spellStart"/>
                              <w:r w:rsidR="00313418" w:rsidRPr="00313418">
                                <w:rPr>
                                  <w:rFonts w:ascii="Times New Roman" w:eastAsiaTheme="minorHAnsi" w:hAnsi="Times New Roman"/>
                                  <w:color w:val="000000"/>
                                  <w:sz w:val="23"/>
                                  <w:szCs w:val="23"/>
                                  <w:lang w:val="en-US"/>
                                </w:rPr>
                                <w:t>Haraway</w:t>
                              </w:r>
                              <w:proofErr w:type="spellEnd"/>
                              <w:r w:rsidR="00313418" w:rsidRPr="00313418">
                                <w:rPr>
                                  <w:rFonts w:ascii="Times New Roman" w:eastAsiaTheme="minorHAnsi" w:hAnsi="Times New Roman"/>
                                  <w:color w:val="000000"/>
                                  <w:sz w:val="23"/>
                                  <w:szCs w:val="23"/>
                                  <w:lang w:val="en-US"/>
                                </w:rPr>
                                <w:t xml:space="preserve">, and others. </w:t>
                              </w:r>
                              <w:r w:rsidR="00313418" w:rsidRPr="00313418">
                                <w:rPr>
                                  <w:rFonts w:ascii="Times New Roman" w:eastAsiaTheme="minorHAnsi" w:hAnsi="Times New Roman"/>
                                  <w:i/>
                                  <w:iCs/>
                                  <w:color w:val="000000"/>
                                  <w:sz w:val="23"/>
                                  <w:szCs w:val="23"/>
                                  <w:lang w:val="en-US"/>
                                </w:rPr>
                                <w:t xml:space="preserve">Readings and discussion in English. </w:t>
                              </w:r>
                            </w:p>
                            <w:p w:rsidR="00313418" w:rsidRPr="00313418" w:rsidRDefault="00313418" w:rsidP="00313418">
                              <w:p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3"/>
                                  <w:szCs w:val="23"/>
                                  <w:lang w:val="en-US"/>
                                </w:rPr>
                                <w:t xml:space="preserve">In the first </w:t>
                              </w:r>
                              <w:proofErr w:type="gramStart"/>
                              <w:r w:rsidRPr="00313418">
                                <w:rPr>
                                  <w:rFonts w:ascii="Times New Roman" w:eastAsiaTheme="minorHAnsi" w:hAnsi="Times New Roman"/>
                                  <w:color w:val="000000"/>
                                  <w:sz w:val="23"/>
                                  <w:szCs w:val="23"/>
                                  <w:lang w:val="en-US"/>
                                </w:rPr>
                                <w:t>module</w:t>
                              </w:r>
                              <w:proofErr w:type="gramEnd"/>
                              <w:r w:rsidRPr="00313418">
                                <w:rPr>
                                  <w:rFonts w:ascii="Times New Roman" w:eastAsiaTheme="minorHAnsi" w:hAnsi="Times New Roman"/>
                                  <w:color w:val="000000"/>
                                  <w:sz w:val="23"/>
                                  <w:szCs w:val="23"/>
                                  <w:lang w:val="en-US"/>
                                </w:rPr>
                                <w:t xml:space="preserve"> the focus will be on ideological constructs, the social imaginary, and culture. </w:t>
                              </w:r>
                            </w:p>
                            <w:p w:rsidR="00313418" w:rsidRPr="00313418" w:rsidRDefault="00313418" w:rsidP="00313418">
                              <w:p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3"/>
                                  <w:szCs w:val="23"/>
                                  <w:lang w:val="en-US"/>
                                </w:rPr>
                                <w:t xml:space="preserve">In the second </w:t>
                              </w:r>
                              <w:proofErr w:type="gramStart"/>
                              <w:r w:rsidRPr="00313418">
                                <w:rPr>
                                  <w:rFonts w:ascii="Times New Roman" w:eastAsiaTheme="minorHAnsi" w:hAnsi="Times New Roman"/>
                                  <w:color w:val="000000"/>
                                  <w:sz w:val="23"/>
                                  <w:szCs w:val="23"/>
                                  <w:lang w:val="en-US"/>
                                </w:rPr>
                                <w:t>module</w:t>
                              </w:r>
                              <w:proofErr w:type="gramEnd"/>
                              <w:r w:rsidRPr="00313418">
                                <w:rPr>
                                  <w:rFonts w:ascii="Times New Roman" w:eastAsiaTheme="minorHAnsi" w:hAnsi="Times New Roman"/>
                                  <w:color w:val="000000"/>
                                  <w:sz w:val="23"/>
                                  <w:szCs w:val="23"/>
                                  <w:lang w:val="en-US"/>
                                </w:rPr>
                                <w:t xml:space="preserve"> the focus will be on subjectivities, the psyche, and the self. </w:t>
                              </w:r>
                            </w:p>
                          </w:tc>
                        </w:tr>
                      </w:tbl>
                      <w:p w:rsidR="00B2506F" w:rsidRPr="00313418" w:rsidRDefault="00B2506F" w:rsidP="00313418">
                        <w:pPr>
                          <w:autoSpaceDE w:val="0"/>
                          <w:autoSpaceDN w:val="0"/>
                          <w:adjustRightInd w:val="0"/>
                          <w:spacing w:after="0" w:line="240" w:lineRule="auto"/>
                          <w:rPr>
                            <w:rFonts w:ascii="Times New Roman" w:eastAsiaTheme="minorHAnsi" w:hAnsi="Times New Roman"/>
                            <w:color w:val="000000"/>
                            <w:sz w:val="23"/>
                            <w:szCs w:val="23"/>
                            <w:lang w:val="en-US"/>
                          </w:rPr>
                        </w:pPr>
                      </w:p>
                    </w:tc>
                  </w:tr>
                </w:tbl>
                <w:p w:rsidR="00B2506F" w:rsidRPr="00B2506F" w:rsidRDefault="00B2506F" w:rsidP="00B2506F">
                  <w:pPr>
                    <w:autoSpaceDE w:val="0"/>
                    <w:autoSpaceDN w:val="0"/>
                    <w:adjustRightInd w:val="0"/>
                    <w:spacing w:after="0" w:line="240" w:lineRule="auto"/>
                    <w:rPr>
                      <w:rFonts w:ascii="Times New Roman" w:eastAsiaTheme="minorHAnsi" w:hAnsi="Times New Roman"/>
                      <w:color w:val="000000"/>
                      <w:sz w:val="23"/>
                      <w:szCs w:val="23"/>
                      <w:lang w:val="en-US"/>
                    </w:rPr>
                  </w:pPr>
                </w:p>
              </w:tc>
            </w:tr>
          </w:tbl>
          <w:p w:rsidR="00E83010" w:rsidRPr="00081179" w:rsidRDefault="00E83010" w:rsidP="00310A0E">
            <w:pPr>
              <w:autoSpaceDE w:val="0"/>
              <w:autoSpaceDN w:val="0"/>
              <w:adjustRightInd w:val="0"/>
              <w:spacing w:after="0" w:line="240" w:lineRule="auto"/>
              <w:jc w:val="both"/>
              <w:rPr>
                <w:rFonts w:ascii="Times New Roman" w:hAnsi="Times New Roman"/>
                <w:color w:val="000000"/>
                <w:sz w:val="24"/>
                <w:szCs w:val="23"/>
                <w:lang w:val="en-US"/>
              </w:rPr>
            </w:pPr>
          </w:p>
        </w:tc>
      </w:tr>
      <w:tr w:rsidR="00081179" w:rsidRPr="00E83010" w:rsidTr="00313418">
        <w:tc>
          <w:tcPr>
            <w:tcW w:w="2611" w:type="dxa"/>
            <w:gridSpan w:val="2"/>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r>
              <w:rPr>
                <w:rStyle w:val="a6"/>
                <w:rFonts w:ascii="Times New Roman" w:eastAsiaTheme="minorHAnsi" w:hAnsi="Times New Roman"/>
                <w:sz w:val="24"/>
                <w:szCs w:val="24"/>
                <w:lang w:val="en-US"/>
              </w:rPr>
              <w:footnoteReference w:id="2"/>
            </w:r>
          </w:p>
        </w:tc>
        <w:tc>
          <w:tcPr>
            <w:tcW w:w="7313" w:type="dxa"/>
            <w:gridSpan w:val="7"/>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098"/>
            </w:tblGrid>
            <w:tr w:rsidR="00313418" w:rsidRPr="00313418">
              <w:tblPrEx>
                <w:tblCellMar>
                  <w:top w:w="0" w:type="dxa"/>
                  <w:bottom w:w="0" w:type="dxa"/>
                </w:tblCellMar>
              </w:tblPrEx>
              <w:trPr>
                <w:trHeight w:val="1238"/>
              </w:trPr>
              <w:tc>
                <w:tcPr>
                  <w:tcW w:w="7098" w:type="dxa"/>
                </w:tcPr>
                <w:p w:rsidR="00313418" w:rsidRPr="00313418" w:rsidRDefault="00313418" w:rsidP="00313418">
                  <w:p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4"/>
                      <w:szCs w:val="24"/>
                      <w:lang w:val="en-US"/>
                    </w:rPr>
                    <w:t xml:space="preserve"> </w:t>
                  </w:r>
                  <w:r w:rsidRPr="00313418">
                    <w:rPr>
                      <w:rFonts w:ascii="Times New Roman" w:eastAsiaTheme="minorHAnsi" w:hAnsi="Times New Roman"/>
                      <w:color w:val="000000"/>
                      <w:sz w:val="23"/>
                      <w:szCs w:val="23"/>
                      <w:lang w:val="en-US"/>
                    </w:rPr>
                    <w:t xml:space="preserve">General objectives of the course include: </w:t>
                  </w:r>
                </w:p>
                <w:p w:rsidR="00313418" w:rsidRPr="00313418" w:rsidRDefault="00313418" w:rsidP="00313418">
                  <w:pPr>
                    <w:numPr>
                      <w:ilvl w:val="0"/>
                      <w:numId w:val="20"/>
                    </w:num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3"/>
                      <w:szCs w:val="23"/>
                      <w:lang w:val="en-US"/>
                    </w:rPr>
                    <w:t xml:space="preserve">• provide experience reading complicated theoretical work written in English (or English translation); </w:t>
                  </w:r>
                </w:p>
                <w:p w:rsidR="00313418" w:rsidRPr="00313418" w:rsidRDefault="00313418" w:rsidP="00313418">
                  <w:pPr>
                    <w:numPr>
                      <w:ilvl w:val="0"/>
                      <w:numId w:val="20"/>
                    </w:num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3"/>
                      <w:szCs w:val="23"/>
                      <w:lang w:val="en-US"/>
                    </w:rPr>
                    <w:t xml:space="preserve">• hone students’ skills in discussion and critical thinking; </w:t>
                  </w:r>
                </w:p>
                <w:p w:rsidR="00313418" w:rsidRPr="00313418" w:rsidRDefault="00313418" w:rsidP="00313418">
                  <w:pPr>
                    <w:numPr>
                      <w:ilvl w:val="0"/>
                      <w:numId w:val="20"/>
                    </w:num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3"/>
                      <w:szCs w:val="23"/>
                      <w:lang w:val="en-US"/>
                    </w:rPr>
                    <w:t xml:space="preserve">• prepare the students who may be interested in graduate-level work in Anglophone countries for engaging in theoretically informed academic discourse; </w:t>
                  </w:r>
                </w:p>
                <w:p w:rsidR="00313418" w:rsidRPr="00313418" w:rsidRDefault="00313418" w:rsidP="00313418">
                  <w:pPr>
                    <w:numPr>
                      <w:ilvl w:val="0"/>
                      <w:numId w:val="20"/>
                    </w:num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lang w:val="en-US"/>
                    </w:rPr>
                    <w:t xml:space="preserve">• </w:t>
                  </w:r>
                  <w:r w:rsidRPr="00313418">
                    <w:rPr>
                      <w:rFonts w:ascii="Times New Roman" w:eastAsiaTheme="minorHAnsi" w:hAnsi="Times New Roman"/>
                      <w:color w:val="000000"/>
                      <w:sz w:val="23"/>
                      <w:szCs w:val="23"/>
                      <w:lang w:val="en-US"/>
                    </w:rPr>
                    <w:t xml:space="preserve">convey the multiplicity of perspectives available for advanced work in the humanities. </w:t>
                  </w:r>
                </w:p>
              </w:tc>
            </w:tr>
          </w:tbl>
          <w:p w:rsidR="00081179" w:rsidRPr="001B10B0" w:rsidRDefault="00081179" w:rsidP="00081179">
            <w:pPr>
              <w:spacing w:after="0" w:line="240" w:lineRule="auto"/>
              <w:rPr>
                <w:rFonts w:ascii="Times New Roman" w:hAnsi="Times New Roman"/>
                <w:sz w:val="24"/>
                <w:szCs w:val="24"/>
                <w:lang w:val="en-US"/>
              </w:rPr>
            </w:pPr>
          </w:p>
        </w:tc>
      </w:tr>
      <w:tr w:rsidR="00467475" w:rsidRPr="00467475" w:rsidTr="00313418">
        <w:tblPrEx>
          <w:tblLook w:val="0400" w:firstRow="0" w:lastRow="0" w:firstColumn="0" w:lastColumn="0" w:noHBand="0" w:noVBand="1"/>
        </w:tblPrEx>
        <w:tc>
          <w:tcPr>
            <w:tcW w:w="9924" w:type="dxa"/>
            <w:gridSpan w:val="9"/>
            <w:shd w:val="clear" w:color="auto" w:fill="93CDDC"/>
            <w:tcMar>
              <w:top w:w="57" w:type="dxa"/>
              <w:left w:w="57" w:type="dxa"/>
              <w:bottom w:w="57" w:type="dxa"/>
              <w:right w:w="57" w:type="dxa"/>
            </w:tcMar>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r>
      <w:tr w:rsidR="00467475" w:rsidRPr="006E2F0C" w:rsidTr="00467475">
        <w:tblPrEx>
          <w:tblLook w:val="00A0" w:firstRow="1" w:lastRow="0" w:firstColumn="1" w:lastColumn="0" w:noHBand="0" w:noVBand="0"/>
        </w:tblPrEx>
        <w:trPr>
          <w:trHeight w:val="45"/>
        </w:trPr>
        <w:tc>
          <w:tcPr>
            <w:tcW w:w="425" w:type="dxa"/>
            <w:vMerge w:val="restart"/>
            <w:shd w:val="clear" w:color="auto" w:fill="DAEEF3"/>
            <w:tcMar>
              <w:top w:w="57" w:type="dxa"/>
              <w:left w:w="57" w:type="dxa"/>
              <w:bottom w:w="57" w:type="dxa"/>
              <w:right w:w="57" w:type="dxa"/>
            </w:tcMar>
          </w:tcPr>
          <w:p w:rsidR="00467475" w:rsidRPr="00C47752" w:rsidRDefault="00467475" w:rsidP="00C33AC1">
            <w:pPr>
              <w:spacing w:after="0" w:line="240" w:lineRule="auto"/>
              <w:rPr>
                <w:rFonts w:ascii="Times New Roman" w:hAnsi="Times New Roman"/>
                <w:b/>
                <w:sz w:val="24"/>
                <w:szCs w:val="24"/>
                <w:lang w:val="en-US"/>
              </w:rPr>
            </w:pPr>
            <w:r w:rsidRPr="00C47752">
              <w:rPr>
                <w:rFonts w:ascii="Times New Roman" w:hAnsi="Times New Roman"/>
                <w:b/>
              </w:rPr>
              <w:t>№</w:t>
            </w:r>
          </w:p>
        </w:tc>
        <w:tc>
          <w:tcPr>
            <w:tcW w:w="3823" w:type="dxa"/>
            <w:gridSpan w:val="2"/>
            <w:vMerge w:val="restart"/>
            <w:shd w:val="clear" w:color="auto" w:fill="DAEEF3"/>
          </w:tcPr>
          <w:p w:rsidR="00467475" w:rsidRPr="00C47752" w:rsidRDefault="00467475" w:rsidP="00C33AC1">
            <w:pPr>
              <w:spacing w:after="0" w:line="240" w:lineRule="auto"/>
              <w:jc w:val="center"/>
              <w:rPr>
                <w:rFonts w:ascii="Times New Roman" w:hAnsi="Times New Roman"/>
                <w:b/>
                <w:sz w:val="24"/>
                <w:szCs w:val="24"/>
                <w:lang w:val="en-US"/>
              </w:rPr>
            </w:pPr>
            <w:r w:rsidRPr="00C47752">
              <w:rPr>
                <w:rFonts w:ascii="Times New Roman" w:hAnsi="Times New Roman"/>
                <w:b/>
                <w:lang w:val="en-US"/>
              </w:rPr>
              <w:t>Topic / Course Chapter</w:t>
            </w:r>
          </w:p>
        </w:tc>
        <w:tc>
          <w:tcPr>
            <w:tcW w:w="1704" w:type="dxa"/>
            <w:gridSpan w:val="2"/>
            <w:vMerge w:val="restart"/>
            <w:shd w:val="clear" w:color="auto" w:fill="DAEEF3"/>
          </w:tcPr>
          <w:p w:rsidR="00467475" w:rsidRPr="00C47752" w:rsidRDefault="00467475" w:rsidP="00C33AC1">
            <w:pPr>
              <w:jc w:val="center"/>
              <w:rPr>
                <w:rFonts w:ascii="Times New Roman" w:hAnsi="Times New Roman"/>
                <w:b/>
                <w:lang w:val="en-US"/>
              </w:rPr>
            </w:pPr>
            <w:r w:rsidRPr="00C47752">
              <w:rPr>
                <w:rFonts w:ascii="Times New Roman" w:hAnsi="Times New Roman"/>
                <w:b/>
                <w:lang w:val="en-US"/>
              </w:rPr>
              <w:t>Total</w:t>
            </w:r>
          </w:p>
          <w:p w:rsidR="00467475" w:rsidRPr="00C47752" w:rsidRDefault="00467475" w:rsidP="00C33AC1">
            <w:pPr>
              <w:spacing w:after="0" w:line="240" w:lineRule="auto"/>
              <w:jc w:val="center"/>
              <w:rPr>
                <w:rFonts w:ascii="Times New Roman" w:hAnsi="Times New Roman"/>
                <w:b/>
                <w:sz w:val="24"/>
                <w:szCs w:val="24"/>
                <w:lang w:val="en-US"/>
              </w:rPr>
            </w:pPr>
          </w:p>
        </w:tc>
        <w:tc>
          <w:tcPr>
            <w:tcW w:w="2268" w:type="dxa"/>
            <w:gridSpan w:val="3"/>
            <w:shd w:val="clear" w:color="auto" w:fill="DAEEF3"/>
          </w:tcPr>
          <w:p w:rsidR="00467475" w:rsidRPr="00C47752" w:rsidRDefault="00467475" w:rsidP="00C33AC1">
            <w:pPr>
              <w:spacing w:after="0" w:line="240" w:lineRule="auto"/>
              <w:jc w:val="center"/>
              <w:rPr>
                <w:rFonts w:ascii="Times New Roman" w:hAnsi="Times New Roman"/>
                <w:b/>
                <w:sz w:val="24"/>
                <w:szCs w:val="24"/>
                <w:lang w:val="en-US"/>
              </w:rPr>
            </w:pPr>
            <w:r w:rsidRPr="00C47752">
              <w:rPr>
                <w:rFonts w:ascii="Times New Roman" w:hAnsi="Times New Roman"/>
                <w:b/>
                <w:lang w:val="en-US"/>
              </w:rPr>
              <w:t>Directed Study</w:t>
            </w:r>
          </w:p>
        </w:tc>
        <w:tc>
          <w:tcPr>
            <w:tcW w:w="1704" w:type="dxa"/>
            <w:vMerge w:val="restart"/>
            <w:shd w:val="clear" w:color="auto" w:fill="DAEEF3"/>
          </w:tcPr>
          <w:p w:rsidR="00467475" w:rsidRPr="00C47752" w:rsidRDefault="00467475" w:rsidP="00C33AC1">
            <w:pPr>
              <w:spacing w:after="0" w:line="240" w:lineRule="auto"/>
              <w:jc w:val="center"/>
              <w:rPr>
                <w:rFonts w:ascii="Times New Roman" w:hAnsi="Times New Roman"/>
                <w:b/>
                <w:sz w:val="24"/>
                <w:szCs w:val="24"/>
                <w:lang w:val="en-US"/>
              </w:rPr>
            </w:pPr>
            <w:r w:rsidRPr="00C47752">
              <w:rPr>
                <w:rFonts w:ascii="Times New Roman" w:hAnsi="Times New Roman"/>
                <w:b/>
                <w:lang w:val="en-US"/>
              </w:rPr>
              <w:t>Self-directed Study</w:t>
            </w:r>
          </w:p>
        </w:tc>
      </w:tr>
      <w:tr w:rsidR="00467475" w:rsidRPr="006E2F0C" w:rsidTr="00467475">
        <w:tblPrEx>
          <w:tblLook w:val="00A0" w:firstRow="1" w:lastRow="0" w:firstColumn="1" w:lastColumn="0" w:noHBand="0" w:noVBand="0"/>
        </w:tblPrEx>
        <w:trPr>
          <w:trHeight w:val="45"/>
        </w:trPr>
        <w:tc>
          <w:tcPr>
            <w:tcW w:w="425" w:type="dxa"/>
            <w:vMerge/>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vMerge/>
          </w:tcPr>
          <w:p w:rsidR="00467475" w:rsidRDefault="00467475" w:rsidP="00C33AC1">
            <w:pPr>
              <w:spacing w:after="0" w:line="240" w:lineRule="auto"/>
              <w:rPr>
                <w:rFonts w:ascii="Times New Roman" w:hAnsi="Times New Roman"/>
                <w:sz w:val="24"/>
                <w:szCs w:val="24"/>
                <w:lang w:val="en-US"/>
              </w:rPr>
            </w:pPr>
          </w:p>
        </w:tc>
        <w:tc>
          <w:tcPr>
            <w:tcW w:w="1704" w:type="dxa"/>
            <w:gridSpan w:val="2"/>
            <w:vMerge/>
          </w:tcPr>
          <w:p w:rsidR="00467475" w:rsidRDefault="00467475" w:rsidP="00C33AC1">
            <w:pPr>
              <w:spacing w:after="0" w:line="240" w:lineRule="auto"/>
              <w:rPr>
                <w:rFonts w:ascii="Times New Roman" w:hAnsi="Times New Roman"/>
                <w:sz w:val="24"/>
                <w:szCs w:val="24"/>
                <w:lang w:val="en-US"/>
              </w:rPr>
            </w:pPr>
          </w:p>
        </w:tc>
        <w:tc>
          <w:tcPr>
            <w:tcW w:w="1134" w:type="dxa"/>
            <w:shd w:val="clear" w:color="auto" w:fill="DAEEF3"/>
          </w:tcPr>
          <w:p w:rsidR="00467475" w:rsidRPr="00C47752" w:rsidRDefault="00467475" w:rsidP="00C33AC1">
            <w:pPr>
              <w:spacing w:after="0" w:line="240" w:lineRule="auto"/>
              <w:rPr>
                <w:rFonts w:ascii="Times New Roman" w:hAnsi="Times New Roman"/>
                <w:b/>
                <w:sz w:val="24"/>
                <w:szCs w:val="24"/>
                <w:lang w:val="en-US"/>
              </w:rPr>
            </w:pPr>
            <w:r w:rsidRPr="00C47752">
              <w:rPr>
                <w:rFonts w:ascii="Times New Roman" w:hAnsi="Times New Roman"/>
                <w:b/>
                <w:lang w:val="en-US"/>
              </w:rPr>
              <w:t>Lectures</w:t>
            </w:r>
          </w:p>
        </w:tc>
        <w:tc>
          <w:tcPr>
            <w:tcW w:w="1134" w:type="dxa"/>
            <w:gridSpan w:val="2"/>
            <w:shd w:val="clear" w:color="auto" w:fill="DAEEF3"/>
          </w:tcPr>
          <w:p w:rsidR="00467475" w:rsidRPr="00C47752" w:rsidRDefault="00467475" w:rsidP="00C33AC1">
            <w:pPr>
              <w:spacing w:after="0" w:line="240" w:lineRule="auto"/>
              <w:rPr>
                <w:rFonts w:ascii="Times New Roman" w:hAnsi="Times New Roman"/>
                <w:b/>
                <w:sz w:val="24"/>
                <w:szCs w:val="24"/>
                <w:lang w:val="en-US"/>
              </w:rPr>
            </w:pPr>
            <w:r w:rsidRPr="00C47752">
              <w:rPr>
                <w:rFonts w:ascii="Times New Roman" w:hAnsi="Times New Roman"/>
                <w:b/>
                <w:lang w:val="en-US"/>
              </w:rPr>
              <w:t>Tutorials</w:t>
            </w:r>
          </w:p>
        </w:tc>
        <w:tc>
          <w:tcPr>
            <w:tcW w:w="1704" w:type="dxa"/>
            <w:vMerge/>
          </w:tcPr>
          <w:p w:rsidR="00467475" w:rsidRDefault="00467475" w:rsidP="00C33AC1">
            <w:pPr>
              <w:spacing w:after="0" w:line="240" w:lineRule="auto"/>
              <w:rPr>
                <w:rFonts w:ascii="Times New Roman" w:hAnsi="Times New Roman"/>
                <w:sz w:val="24"/>
                <w:szCs w:val="24"/>
                <w:lang w:val="en-US"/>
              </w:rPr>
            </w:pPr>
          </w:p>
        </w:tc>
      </w:tr>
      <w:tr w:rsidR="00467475" w:rsidRPr="00B2506F" w:rsidTr="00467475">
        <w:tblPrEx>
          <w:tblLook w:val="00A0" w:firstRow="1" w:lastRow="0" w:firstColumn="1" w:lastColumn="0" w:noHBand="0" w:noVBand="0"/>
        </w:tblPrEx>
        <w:trPr>
          <w:trHeight w:val="45"/>
        </w:trPr>
        <w:tc>
          <w:tcPr>
            <w:tcW w:w="425" w:type="dxa"/>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236"/>
            </w:tblGrid>
            <w:tr w:rsidR="00313418" w:rsidRPr="00313418">
              <w:tblPrEx>
                <w:tblCellMar>
                  <w:top w:w="0" w:type="dxa"/>
                  <w:bottom w:w="0" w:type="dxa"/>
                </w:tblCellMar>
              </w:tblPrEx>
              <w:trPr>
                <w:trHeight w:val="247"/>
              </w:trPr>
              <w:tc>
                <w:tcPr>
                  <w:tcW w:w="3236" w:type="dxa"/>
                </w:tcPr>
                <w:p w:rsidR="00313418" w:rsidRPr="00313418" w:rsidRDefault="00313418" w:rsidP="00313418">
                  <w:pPr>
                    <w:autoSpaceDE w:val="0"/>
                    <w:autoSpaceDN w:val="0"/>
                    <w:adjustRightInd w:val="0"/>
                    <w:spacing w:after="0" w:line="240" w:lineRule="auto"/>
                    <w:ind w:right="-593"/>
                    <w:rPr>
                      <w:rFonts w:ascii="Times New Roman" w:eastAsiaTheme="minorHAnsi" w:hAnsi="Times New Roman"/>
                      <w:color w:val="000000"/>
                      <w:sz w:val="23"/>
                      <w:szCs w:val="23"/>
                      <w:lang w:val="en-US"/>
                    </w:rPr>
                  </w:pPr>
                  <w:r w:rsidRPr="00313418">
                    <w:rPr>
                      <w:rFonts w:ascii="Times New Roman" w:eastAsiaTheme="minorHAnsi" w:hAnsi="Times New Roman"/>
                      <w:color w:val="000000"/>
                      <w:sz w:val="24"/>
                      <w:szCs w:val="24"/>
                      <w:lang w:val="en-US"/>
                    </w:rPr>
                    <w:t xml:space="preserve"> </w:t>
                  </w:r>
                  <w:r w:rsidRPr="00313418">
                    <w:rPr>
                      <w:rFonts w:ascii="Times New Roman" w:eastAsiaTheme="minorHAnsi" w:hAnsi="Times New Roman"/>
                      <w:color w:val="000000"/>
                      <w:sz w:val="23"/>
                      <w:szCs w:val="23"/>
                      <w:lang w:val="en-US"/>
                    </w:rPr>
                    <w:t xml:space="preserve">Ideological Constructs, the Social Imaginary, Culture </w:t>
                  </w:r>
                </w:p>
              </w:tc>
            </w:tr>
          </w:tbl>
          <w:p w:rsidR="00467475" w:rsidRPr="00B2506F" w:rsidRDefault="00467475" w:rsidP="00B2506F">
            <w:pPr>
              <w:pStyle w:val="Default"/>
              <w:rPr>
                <w:sz w:val="23"/>
                <w:szCs w:val="23"/>
                <w:lang w:val="en-US"/>
              </w:rPr>
            </w:pPr>
          </w:p>
        </w:tc>
        <w:tc>
          <w:tcPr>
            <w:tcW w:w="1704" w:type="dxa"/>
            <w:gridSpan w:val="2"/>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76</w:t>
            </w:r>
          </w:p>
        </w:tc>
        <w:tc>
          <w:tcPr>
            <w:tcW w:w="1134" w:type="dxa"/>
          </w:tcPr>
          <w:p w:rsidR="00467475" w:rsidRPr="00313418" w:rsidRDefault="00313418" w:rsidP="00313418">
            <w:pPr>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1134" w:type="dxa"/>
            <w:gridSpan w:val="2"/>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1704" w:type="dxa"/>
          </w:tcPr>
          <w:p w:rsidR="00467475" w:rsidRPr="00313418" w:rsidRDefault="00313418" w:rsidP="00313418">
            <w:pPr>
              <w:spacing w:after="0" w:line="240" w:lineRule="auto"/>
              <w:rPr>
                <w:rFonts w:ascii="Times New Roman" w:hAnsi="Times New Roman"/>
                <w:sz w:val="24"/>
                <w:szCs w:val="24"/>
                <w:lang w:val="en-US"/>
              </w:rPr>
            </w:pPr>
            <w:r>
              <w:rPr>
                <w:rFonts w:ascii="Times New Roman" w:hAnsi="Times New Roman"/>
                <w:sz w:val="24"/>
                <w:szCs w:val="24"/>
                <w:lang w:val="en-US"/>
              </w:rPr>
              <w:t>54</w:t>
            </w:r>
          </w:p>
        </w:tc>
      </w:tr>
      <w:tr w:rsidR="00467475" w:rsidRPr="00B2506F" w:rsidTr="00467475">
        <w:tblPrEx>
          <w:tblLook w:val="00A0" w:firstRow="1" w:lastRow="0" w:firstColumn="1" w:lastColumn="0" w:noHBand="0" w:noVBand="0"/>
        </w:tblPrEx>
        <w:trPr>
          <w:trHeight w:val="45"/>
        </w:trPr>
        <w:tc>
          <w:tcPr>
            <w:tcW w:w="425" w:type="dxa"/>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277"/>
            </w:tblGrid>
            <w:tr w:rsidR="00313418" w:rsidRPr="00313418">
              <w:tblPrEx>
                <w:tblCellMar>
                  <w:top w:w="0" w:type="dxa"/>
                  <w:bottom w:w="0" w:type="dxa"/>
                </w:tblCellMar>
              </w:tblPrEx>
              <w:trPr>
                <w:trHeight w:val="247"/>
              </w:trPr>
              <w:tc>
                <w:tcPr>
                  <w:tcW w:w="3277" w:type="dxa"/>
                </w:tcPr>
                <w:p w:rsidR="00313418" w:rsidRPr="00313418" w:rsidRDefault="00313418" w:rsidP="00313418">
                  <w:pPr>
                    <w:autoSpaceDE w:val="0"/>
                    <w:autoSpaceDN w:val="0"/>
                    <w:adjustRightInd w:val="0"/>
                    <w:spacing w:after="0" w:line="240" w:lineRule="auto"/>
                    <w:ind w:right="-552"/>
                    <w:rPr>
                      <w:rFonts w:ascii="Times New Roman" w:eastAsiaTheme="minorHAnsi" w:hAnsi="Times New Roman"/>
                      <w:color w:val="000000"/>
                      <w:sz w:val="23"/>
                      <w:szCs w:val="23"/>
                      <w:lang w:val="en-US"/>
                    </w:rPr>
                  </w:pPr>
                  <w:r w:rsidRPr="00313418">
                    <w:rPr>
                      <w:rFonts w:ascii="Times New Roman" w:eastAsiaTheme="minorHAnsi" w:hAnsi="Times New Roman"/>
                      <w:color w:val="000000"/>
                      <w:sz w:val="24"/>
                      <w:szCs w:val="24"/>
                      <w:lang w:val="en-US"/>
                    </w:rPr>
                    <w:t xml:space="preserve"> </w:t>
                  </w:r>
                  <w:r w:rsidRPr="00313418">
                    <w:rPr>
                      <w:rFonts w:ascii="Times New Roman" w:eastAsiaTheme="minorHAnsi" w:hAnsi="Times New Roman"/>
                      <w:color w:val="000000"/>
                      <w:sz w:val="23"/>
                      <w:szCs w:val="23"/>
                      <w:lang w:val="en-US"/>
                    </w:rPr>
                    <w:t xml:space="preserve">Subjectivities, the Psyche, and the Self </w:t>
                  </w:r>
                </w:p>
              </w:tc>
            </w:tr>
          </w:tbl>
          <w:p w:rsidR="00467475" w:rsidRPr="00313418" w:rsidRDefault="00467475" w:rsidP="00B2506F">
            <w:pPr>
              <w:pStyle w:val="Default"/>
              <w:rPr>
                <w:sz w:val="23"/>
                <w:szCs w:val="23"/>
                <w:lang w:val="en-US"/>
              </w:rPr>
            </w:pPr>
          </w:p>
        </w:tc>
        <w:tc>
          <w:tcPr>
            <w:tcW w:w="1704" w:type="dxa"/>
            <w:gridSpan w:val="2"/>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76</w:t>
            </w:r>
          </w:p>
        </w:tc>
        <w:tc>
          <w:tcPr>
            <w:tcW w:w="1134" w:type="dxa"/>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1134" w:type="dxa"/>
            <w:gridSpan w:val="2"/>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1704" w:type="dxa"/>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52</w:t>
            </w:r>
          </w:p>
        </w:tc>
      </w:tr>
      <w:tr w:rsidR="00467475" w:rsidRPr="00B2506F" w:rsidTr="00467475">
        <w:tblPrEx>
          <w:tblLook w:val="00A0" w:firstRow="1" w:lastRow="0" w:firstColumn="1" w:lastColumn="0" w:noHBand="0" w:noVBand="0"/>
        </w:tblPrEx>
        <w:trPr>
          <w:trHeight w:val="45"/>
        </w:trPr>
        <w:tc>
          <w:tcPr>
            <w:tcW w:w="4248" w:type="dxa"/>
            <w:gridSpan w:val="3"/>
            <w:shd w:val="clear" w:color="auto" w:fill="DAEEF3"/>
            <w:tcMar>
              <w:top w:w="57" w:type="dxa"/>
              <w:left w:w="57" w:type="dxa"/>
              <w:bottom w:w="57" w:type="dxa"/>
              <w:right w:w="57" w:type="dxa"/>
            </w:tcMar>
          </w:tcPr>
          <w:p w:rsidR="00467475" w:rsidRPr="00B2506F" w:rsidRDefault="00B2506F" w:rsidP="00B2506F">
            <w:pPr>
              <w:pStyle w:val="Default"/>
            </w:pPr>
            <w:proofErr w:type="spellStart"/>
            <w:r>
              <w:rPr>
                <w:b/>
                <w:bCs/>
                <w:sz w:val="22"/>
                <w:szCs w:val="22"/>
              </w:rPr>
              <w:t>Total</w:t>
            </w:r>
            <w:proofErr w:type="spellEnd"/>
            <w:r>
              <w:rPr>
                <w:b/>
                <w:bCs/>
                <w:sz w:val="22"/>
                <w:szCs w:val="22"/>
              </w:rPr>
              <w:t xml:space="preserve"> </w:t>
            </w:r>
            <w:proofErr w:type="spellStart"/>
            <w:r>
              <w:rPr>
                <w:b/>
                <w:bCs/>
                <w:sz w:val="22"/>
                <w:szCs w:val="22"/>
              </w:rPr>
              <w:t>study</w:t>
            </w:r>
            <w:proofErr w:type="spellEnd"/>
            <w:r>
              <w:rPr>
                <w:b/>
                <w:bCs/>
                <w:sz w:val="22"/>
                <w:szCs w:val="22"/>
              </w:rPr>
              <w:t xml:space="preserve"> </w:t>
            </w:r>
            <w:proofErr w:type="spellStart"/>
            <w:r>
              <w:rPr>
                <w:b/>
                <w:bCs/>
                <w:sz w:val="22"/>
                <w:szCs w:val="22"/>
              </w:rPr>
              <w:t>hours</w:t>
            </w:r>
            <w:proofErr w:type="spellEnd"/>
            <w:r>
              <w:rPr>
                <w:b/>
                <w:bCs/>
                <w:sz w:val="22"/>
                <w:szCs w:val="22"/>
              </w:rPr>
              <w:t xml:space="preserve"> </w:t>
            </w:r>
          </w:p>
        </w:tc>
        <w:tc>
          <w:tcPr>
            <w:tcW w:w="1704" w:type="dxa"/>
            <w:gridSpan w:val="2"/>
            <w:shd w:val="clear" w:color="auto" w:fill="DAEEF3"/>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152</w:t>
            </w:r>
          </w:p>
        </w:tc>
        <w:tc>
          <w:tcPr>
            <w:tcW w:w="1134" w:type="dxa"/>
            <w:shd w:val="clear" w:color="auto" w:fill="DAEEF3"/>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1134" w:type="dxa"/>
            <w:gridSpan w:val="2"/>
            <w:shd w:val="clear" w:color="auto" w:fill="DAEEF3"/>
          </w:tcPr>
          <w:p w:rsidR="00467475" w:rsidRPr="00313418" w:rsidRDefault="00313418" w:rsidP="00C33AC1">
            <w:pPr>
              <w:spacing w:after="0" w:line="240" w:lineRule="auto"/>
              <w:rPr>
                <w:rFonts w:ascii="Times New Roman" w:hAnsi="Times New Roman"/>
                <w:sz w:val="24"/>
                <w:szCs w:val="24"/>
                <w:lang w:val="en-US"/>
              </w:rPr>
            </w:pPr>
            <w:r>
              <w:rPr>
                <w:rFonts w:ascii="Times New Roman" w:hAnsi="Times New Roman"/>
                <w:sz w:val="24"/>
                <w:szCs w:val="24"/>
                <w:lang w:val="en-US"/>
              </w:rPr>
              <w:t>24</w:t>
            </w:r>
          </w:p>
        </w:tc>
        <w:tc>
          <w:tcPr>
            <w:tcW w:w="1704" w:type="dxa"/>
            <w:shd w:val="clear" w:color="auto" w:fill="DAEEF3"/>
          </w:tcPr>
          <w:p w:rsidR="00467475" w:rsidRPr="00313418" w:rsidRDefault="00313418" w:rsidP="00313418">
            <w:pPr>
              <w:spacing w:after="0" w:line="240" w:lineRule="auto"/>
              <w:rPr>
                <w:rFonts w:ascii="Times New Roman" w:hAnsi="Times New Roman"/>
                <w:sz w:val="24"/>
                <w:szCs w:val="24"/>
                <w:lang w:val="en-US"/>
              </w:rPr>
            </w:pPr>
            <w:r>
              <w:rPr>
                <w:rFonts w:ascii="Times New Roman" w:hAnsi="Times New Roman"/>
                <w:sz w:val="24"/>
                <w:szCs w:val="24"/>
                <w:lang w:val="en-US"/>
              </w:rPr>
              <w:t>106</w:t>
            </w:r>
          </w:p>
        </w:tc>
      </w:tr>
      <w:tr w:rsidR="00467475" w:rsidRPr="00E83010" w:rsidTr="00313418">
        <w:tc>
          <w:tcPr>
            <w:tcW w:w="2611" w:type="dxa"/>
            <w:gridSpan w:val="2"/>
            <w:shd w:val="clear" w:color="auto" w:fill="92CDDC" w:themeFill="accent5" w:themeFillTint="99"/>
            <w:tcMar>
              <w:top w:w="57" w:type="dxa"/>
              <w:left w:w="57" w:type="dxa"/>
              <w:bottom w:w="57" w:type="dxa"/>
              <w:right w:w="57" w:type="dxa"/>
            </w:tcMar>
            <w:hideMark/>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313" w:type="dxa"/>
            <w:gridSpan w:val="7"/>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071"/>
            </w:tblGrid>
            <w:tr w:rsidR="00313418" w:rsidRPr="00313418">
              <w:tblPrEx>
                <w:tblCellMar>
                  <w:top w:w="0" w:type="dxa"/>
                  <w:bottom w:w="0" w:type="dxa"/>
                </w:tblCellMar>
              </w:tblPrEx>
              <w:trPr>
                <w:trHeight w:val="247"/>
              </w:trPr>
              <w:tc>
                <w:tcPr>
                  <w:tcW w:w="7071" w:type="dxa"/>
                </w:tcPr>
                <w:p w:rsidR="00313418" w:rsidRPr="00313418" w:rsidRDefault="00313418" w:rsidP="00313418">
                  <w:pPr>
                    <w:autoSpaceDE w:val="0"/>
                    <w:autoSpaceDN w:val="0"/>
                    <w:adjustRightInd w:val="0"/>
                    <w:spacing w:after="0" w:line="240" w:lineRule="auto"/>
                    <w:rPr>
                      <w:rFonts w:ascii="Times New Roman" w:eastAsiaTheme="minorHAnsi" w:hAnsi="Times New Roman"/>
                      <w:color w:val="000000"/>
                      <w:sz w:val="23"/>
                      <w:szCs w:val="23"/>
                      <w:lang w:val="en-US"/>
                    </w:rPr>
                  </w:pPr>
                  <w:r w:rsidRPr="00313418">
                    <w:rPr>
                      <w:rFonts w:ascii="Times New Roman" w:eastAsiaTheme="minorHAnsi" w:hAnsi="Times New Roman"/>
                      <w:color w:val="000000"/>
                      <w:sz w:val="24"/>
                      <w:szCs w:val="24"/>
                      <w:lang w:val="en-US"/>
                    </w:rPr>
                    <w:t xml:space="preserve"> </w:t>
                  </w:r>
                  <w:r w:rsidRPr="00313418">
                    <w:rPr>
                      <w:rFonts w:ascii="Times New Roman" w:eastAsiaTheme="minorHAnsi" w:hAnsi="Times New Roman"/>
                      <w:color w:val="000000"/>
                      <w:sz w:val="23"/>
                      <w:szCs w:val="23"/>
                      <w:lang w:val="en-US"/>
                    </w:rPr>
                    <w:t xml:space="preserve">Lectures, seminars, presentations, reading and writing assignments, video screenings. </w:t>
                  </w:r>
                </w:p>
              </w:tc>
            </w:tr>
          </w:tbl>
          <w:p w:rsidR="00467475" w:rsidRPr="00310A0E" w:rsidRDefault="00467475" w:rsidP="00467475">
            <w:pPr>
              <w:spacing w:after="0" w:line="240" w:lineRule="auto"/>
              <w:rPr>
                <w:rFonts w:ascii="Times New Roman" w:eastAsiaTheme="minorHAnsi" w:hAnsi="Times New Roman"/>
                <w:sz w:val="24"/>
                <w:szCs w:val="24"/>
                <w:lang w:val="en-US"/>
              </w:rPr>
            </w:pPr>
          </w:p>
        </w:tc>
      </w:tr>
      <w:tr w:rsidR="00467475" w:rsidRPr="00E83010" w:rsidTr="00313418">
        <w:tc>
          <w:tcPr>
            <w:tcW w:w="2611" w:type="dxa"/>
            <w:gridSpan w:val="2"/>
            <w:shd w:val="clear" w:color="auto" w:fill="92CDDC" w:themeFill="accent5" w:themeFillTint="99"/>
            <w:tcMar>
              <w:top w:w="57" w:type="dxa"/>
              <w:left w:w="57" w:type="dxa"/>
              <w:bottom w:w="57" w:type="dxa"/>
              <w:right w:w="57" w:type="dxa"/>
            </w:tcMar>
            <w:hideMark/>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313" w:type="dxa"/>
            <w:gridSpan w:val="7"/>
            <w:tcMar>
              <w:top w:w="57" w:type="dxa"/>
              <w:left w:w="57" w:type="dxa"/>
              <w:bottom w:w="57" w:type="dxa"/>
              <w:right w:w="57" w:type="dxa"/>
            </w:tcMar>
          </w:tcPr>
          <w:p w:rsidR="00313418" w:rsidRPr="00313418" w:rsidRDefault="00313418" w:rsidP="00313418">
            <w:pPr>
              <w:pStyle w:val="Default"/>
              <w:rPr>
                <w:sz w:val="22"/>
                <w:szCs w:val="22"/>
                <w:lang w:val="en-US"/>
              </w:rPr>
            </w:pPr>
            <w:r w:rsidRPr="00313418">
              <w:rPr>
                <w:b/>
                <w:bCs/>
                <w:sz w:val="22"/>
                <w:szCs w:val="22"/>
                <w:lang w:val="en-US"/>
              </w:rPr>
              <w:t xml:space="preserve">Written in-class test </w:t>
            </w:r>
            <w:r w:rsidRPr="00313418">
              <w:rPr>
                <w:sz w:val="22"/>
                <w:szCs w:val="22"/>
                <w:lang w:val="en-US"/>
              </w:rPr>
              <w:t xml:space="preserve">at the end of the first module 25% </w:t>
            </w:r>
          </w:p>
          <w:p w:rsidR="00313418" w:rsidRPr="00313418" w:rsidRDefault="00313418" w:rsidP="00313418">
            <w:pPr>
              <w:pStyle w:val="Default"/>
              <w:rPr>
                <w:sz w:val="22"/>
                <w:szCs w:val="22"/>
                <w:lang w:val="en-US"/>
              </w:rPr>
            </w:pPr>
            <w:r w:rsidRPr="00313418">
              <w:rPr>
                <w:sz w:val="22"/>
                <w:szCs w:val="22"/>
                <w:lang w:val="en-US"/>
              </w:rPr>
              <w:t xml:space="preserve">Short essay questions on key topics from the lectures. </w:t>
            </w:r>
          </w:p>
          <w:p w:rsidR="00313418" w:rsidRDefault="00313418" w:rsidP="00313418">
            <w:pPr>
              <w:pStyle w:val="Default"/>
              <w:rPr>
                <w:sz w:val="22"/>
                <w:szCs w:val="22"/>
              </w:rPr>
            </w:pPr>
            <w:proofErr w:type="spellStart"/>
            <w:r>
              <w:rPr>
                <w:i/>
                <w:iCs/>
                <w:sz w:val="22"/>
                <w:szCs w:val="22"/>
              </w:rPr>
              <w:t>Some</w:t>
            </w:r>
            <w:proofErr w:type="spellEnd"/>
            <w:r>
              <w:rPr>
                <w:i/>
                <w:iCs/>
                <w:sz w:val="22"/>
                <w:szCs w:val="22"/>
              </w:rPr>
              <w:t xml:space="preserve"> </w:t>
            </w:r>
            <w:proofErr w:type="spellStart"/>
            <w:r>
              <w:rPr>
                <w:i/>
                <w:iCs/>
                <w:sz w:val="22"/>
                <w:szCs w:val="22"/>
              </w:rPr>
              <w:t>sample</w:t>
            </w:r>
            <w:proofErr w:type="spellEnd"/>
            <w:r>
              <w:rPr>
                <w:i/>
                <w:iCs/>
                <w:sz w:val="22"/>
                <w:szCs w:val="22"/>
              </w:rPr>
              <w:t xml:space="preserve"> </w:t>
            </w:r>
            <w:proofErr w:type="spellStart"/>
            <w:r>
              <w:rPr>
                <w:i/>
                <w:iCs/>
                <w:sz w:val="22"/>
                <w:szCs w:val="22"/>
              </w:rPr>
              <w:t>questions</w:t>
            </w:r>
            <w:proofErr w:type="spellEnd"/>
            <w:r>
              <w:rPr>
                <w:i/>
                <w:iCs/>
                <w:sz w:val="22"/>
                <w:szCs w:val="22"/>
              </w:rPr>
              <w:t xml:space="preserve">: </w:t>
            </w:r>
          </w:p>
          <w:p w:rsidR="00313418" w:rsidRPr="00313418" w:rsidRDefault="00313418" w:rsidP="00313418">
            <w:pPr>
              <w:pStyle w:val="Default"/>
              <w:numPr>
                <w:ilvl w:val="0"/>
                <w:numId w:val="21"/>
              </w:numPr>
              <w:rPr>
                <w:sz w:val="22"/>
                <w:szCs w:val="22"/>
                <w:lang w:val="en-US"/>
              </w:rPr>
            </w:pPr>
            <w:r w:rsidRPr="00313418">
              <w:rPr>
                <w:sz w:val="22"/>
                <w:szCs w:val="22"/>
                <w:lang w:val="en-US"/>
              </w:rPr>
              <w:t xml:space="preserve">• Explain Edward Said’s conception of Orientalism. </w:t>
            </w:r>
          </w:p>
          <w:p w:rsidR="00313418" w:rsidRPr="00313418" w:rsidRDefault="00313418" w:rsidP="00313418">
            <w:pPr>
              <w:pStyle w:val="Default"/>
              <w:numPr>
                <w:ilvl w:val="0"/>
                <w:numId w:val="21"/>
              </w:numPr>
              <w:rPr>
                <w:sz w:val="22"/>
                <w:szCs w:val="22"/>
                <w:lang w:val="en-US"/>
              </w:rPr>
            </w:pPr>
            <w:r w:rsidRPr="00313418">
              <w:rPr>
                <w:sz w:val="22"/>
                <w:szCs w:val="22"/>
                <w:lang w:val="en-US"/>
              </w:rPr>
              <w:t xml:space="preserve">• What does </w:t>
            </w:r>
            <w:proofErr w:type="spellStart"/>
            <w:r w:rsidRPr="00313418">
              <w:rPr>
                <w:sz w:val="22"/>
                <w:szCs w:val="22"/>
                <w:lang w:val="en-US"/>
              </w:rPr>
              <w:t>Bataille</w:t>
            </w:r>
            <w:proofErr w:type="spellEnd"/>
            <w:r w:rsidRPr="00313418">
              <w:rPr>
                <w:sz w:val="22"/>
                <w:szCs w:val="22"/>
                <w:lang w:val="en-US"/>
              </w:rPr>
              <w:t xml:space="preserve"> mean by “the accursed share” within his conception of “general economy?” </w:t>
            </w:r>
          </w:p>
          <w:p w:rsidR="00313418" w:rsidRPr="00313418" w:rsidRDefault="00313418" w:rsidP="00313418">
            <w:pPr>
              <w:pStyle w:val="Default"/>
              <w:numPr>
                <w:ilvl w:val="0"/>
                <w:numId w:val="21"/>
              </w:numPr>
              <w:rPr>
                <w:sz w:val="22"/>
                <w:szCs w:val="22"/>
                <w:lang w:val="en-US"/>
              </w:rPr>
            </w:pPr>
            <w:r w:rsidRPr="00313418">
              <w:rPr>
                <w:sz w:val="22"/>
                <w:szCs w:val="22"/>
                <w:lang w:val="en-US"/>
              </w:rPr>
              <w:t xml:space="preserve">• Why do </w:t>
            </w:r>
            <w:proofErr w:type="spellStart"/>
            <w:r w:rsidRPr="00313418">
              <w:rPr>
                <w:sz w:val="22"/>
                <w:szCs w:val="22"/>
                <w:lang w:val="en-US"/>
              </w:rPr>
              <w:t>Adorno</w:t>
            </w:r>
            <w:proofErr w:type="spellEnd"/>
            <w:r w:rsidRPr="00313418">
              <w:rPr>
                <w:sz w:val="22"/>
                <w:szCs w:val="22"/>
                <w:lang w:val="en-US"/>
              </w:rPr>
              <w:t xml:space="preserve"> and </w:t>
            </w:r>
            <w:proofErr w:type="spellStart"/>
            <w:r w:rsidRPr="00313418">
              <w:rPr>
                <w:sz w:val="22"/>
                <w:szCs w:val="22"/>
                <w:lang w:val="en-US"/>
              </w:rPr>
              <w:t>Horkheimer</w:t>
            </w:r>
            <w:proofErr w:type="spellEnd"/>
            <w:r w:rsidRPr="00313418">
              <w:rPr>
                <w:sz w:val="22"/>
                <w:szCs w:val="22"/>
                <w:lang w:val="en-US"/>
              </w:rPr>
              <w:t xml:space="preserve"> argue that enlightenment has turned into a deception? </w:t>
            </w:r>
          </w:p>
          <w:p w:rsidR="00313418" w:rsidRPr="00313418" w:rsidRDefault="00313418" w:rsidP="00313418">
            <w:pPr>
              <w:pStyle w:val="Default"/>
              <w:rPr>
                <w:sz w:val="22"/>
                <w:szCs w:val="22"/>
                <w:lang w:val="en-US"/>
              </w:rPr>
            </w:pPr>
          </w:p>
          <w:p w:rsidR="00313418" w:rsidRPr="00313418" w:rsidRDefault="00313418" w:rsidP="00313418">
            <w:pPr>
              <w:pStyle w:val="Default"/>
              <w:rPr>
                <w:sz w:val="22"/>
                <w:szCs w:val="22"/>
                <w:lang w:val="en-US"/>
              </w:rPr>
            </w:pPr>
            <w:r w:rsidRPr="00313418">
              <w:rPr>
                <w:b/>
                <w:bCs/>
                <w:sz w:val="22"/>
                <w:szCs w:val="22"/>
                <w:lang w:val="en-US"/>
              </w:rPr>
              <w:t xml:space="preserve">2 oral presentations </w:t>
            </w:r>
            <w:r w:rsidRPr="00313418">
              <w:rPr>
                <w:sz w:val="22"/>
                <w:szCs w:val="22"/>
                <w:lang w:val="en-US"/>
              </w:rPr>
              <w:t xml:space="preserve">10 minutes, one in each module 30% </w:t>
            </w:r>
          </w:p>
          <w:p w:rsidR="00313418" w:rsidRPr="00313418" w:rsidRDefault="00313418" w:rsidP="00313418">
            <w:pPr>
              <w:pStyle w:val="Default"/>
              <w:rPr>
                <w:sz w:val="22"/>
                <w:szCs w:val="22"/>
                <w:lang w:val="en-US"/>
              </w:rPr>
            </w:pPr>
            <w:r w:rsidRPr="00313418">
              <w:rPr>
                <w:sz w:val="22"/>
                <w:szCs w:val="22"/>
                <w:lang w:val="en-US"/>
              </w:rPr>
              <w:t xml:space="preserve">Students </w:t>
            </w:r>
            <w:proofErr w:type="gramStart"/>
            <w:r w:rsidRPr="00313418">
              <w:rPr>
                <w:sz w:val="22"/>
                <w:szCs w:val="22"/>
                <w:lang w:val="en-US"/>
              </w:rPr>
              <w:t>will be given</w:t>
            </w:r>
            <w:proofErr w:type="gramEnd"/>
            <w:r w:rsidRPr="00313418">
              <w:rPr>
                <w:sz w:val="22"/>
                <w:szCs w:val="22"/>
                <w:lang w:val="en-US"/>
              </w:rPr>
              <w:t xml:space="preserve"> a choice of topics. The presentations should demonstrate a clear understanding of the theoretical concepts involved; they should cite and analyze key passages from relevant texts; and they should offer a critical assessment. The presentation should conclude with a question (or two) addressed to the class for further discussion. </w:t>
            </w:r>
          </w:p>
          <w:p w:rsidR="00313418" w:rsidRDefault="00313418" w:rsidP="00313418">
            <w:pPr>
              <w:pStyle w:val="Default"/>
              <w:rPr>
                <w:sz w:val="22"/>
                <w:szCs w:val="22"/>
              </w:rPr>
            </w:pPr>
            <w:proofErr w:type="spellStart"/>
            <w:r>
              <w:rPr>
                <w:i/>
                <w:iCs/>
                <w:sz w:val="22"/>
                <w:szCs w:val="22"/>
              </w:rPr>
              <w:t>Some</w:t>
            </w:r>
            <w:proofErr w:type="spellEnd"/>
            <w:r>
              <w:rPr>
                <w:i/>
                <w:iCs/>
                <w:sz w:val="22"/>
                <w:szCs w:val="22"/>
              </w:rPr>
              <w:t xml:space="preserve"> </w:t>
            </w:r>
            <w:proofErr w:type="spellStart"/>
            <w:r>
              <w:rPr>
                <w:i/>
                <w:iCs/>
                <w:sz w:val="22"/>
                <w:szCs w:val="22"/>
              </w:rPr>
              <w:t>sample</w:t>
            </w:r>
            <w:proofErr w:type="spellEnd"/>
            <w:r>
              <w:rPr>
                <w:i/>
                <w:iCs/>
                <w:sz w:val="22"/>
                <w:szCs w:val="22"/>
              </w:rPr>
              <w:t xml:space="preserve"> </w:t>
            </w:r>
            <w:proofErr w:type="spellStart"/>
            <w:r>
              <w:rPr>
                <w:i/>
                <w:iCs/>
                <w:sz w:val="22"/>
                <w:szCs w:val="22"/>
              </w:rPr>
              <w:t>topics</w:t>
            </w:r>
            <w:proofErr w:type="spellEnd"/>
            <w:r>
              <w:rPr>
                <w:i/>
                <w:iCs/>
                <w:sz w:val="22"/>
                <w:szCs w:val="22"/>
              </w:rPr>
              <w:t xml:space="preserve">: </w:t>
            </w:r>
          </w:p>
          <w:p w:rsidR="00313418" w:rsidRPr="00313418" w:rsidRDefault="00313418" w:rsidP="00313418">
            <w:pPr>
              <w:pStyle w:val="Default"/>
              <w:numPr>
                <w:ilvl w:val="0"/>
                <w:numId w:val="22"/>
              </w:numPr>
              <w:rPr>
                <w:sz w:val="22"/>
                <w:szCs w:val="22"/>
                <w:lang w:val="en-US"/>
              </w:rPr>
            </w:pPr>
            <w:r w:rsidRPr="00313418">
              <w:rPr>
                <w:sz w:val="22"/>
                <w:szCs w:val="22"/>
                <w:lang w:val="en-US"/>
              </w:rPr>
              <w:t xml:space="preserve">• </w:t>
            </w:r>
            <w:proofErr w:type="spellStart"/>
            <w:r w:rsidRPr="00313418">
              <w:rPr>
                <w:sz w:val="22"/>
                <w:szCs w:val="22"/>
                <w:lang w:val="en-US"/>
              </w:rPr>
              <w:t>Žižek’s</w:t>
            </w:r>
            <w:proofErr w:type="spellEnd"/>
            <w:r w:rsidRPr="00313418">
              <w:rPr>
                <w:sz w:val="22"/>
                <w:szCs w:val="22"/>
                <w:lang w:val="en-US"/>
              </w:rPr>
              <w:t xml:space="preserve"> conception of the Big Other. </w:t>
            </w:r>
          </w:p>
          <w:p w:rsidR="00313418" w:rsidRPr="00313418" w:rsidRDefault="00313418" w:rsidP="00313418">
            <w:pPr>
              <w:pStyle w:val="Default"/>
              <w:numPr>
                <w:ilvl w:val="0"/>
                <w:numId w:val="22"/>
              </w:numPr>
              <w:rPr>
                <w:sz w:val="22"/>
                <w:szCs w:val="22"/>
                <w:lang w:val="en-US"/>
              </w:rPr>
            </w:pPr>
            <w:r w:rsidRPr="00313418">
              <w:rPr>
                <w:sz w:val="22"/>
                <w:szCs w:val="22"/>
                <w:lang w:val="en-US"/>
              </w:rPr>
              <w:t xml:space="preserve">• The critique of Freudian psychoanalysis in </w:t>
            </w:r>
            <w:proofErr w:type="spellStart"/>
            <w:r w:rsidRPr="00313418">
              <w:rPr>
                <w:sz w:val="22"/>
                <w:szCs w:val="22"/>
                <w:lang w:val="en-US"/>
              </w:rPr>
              <w:t>Deleuze</w:t>
            </w:r>
            <w:proofErr w:type="spellEnd"/>
            <w:r w:rsidRPr="00313418">
              <w:rPr>
                <w:sz w:val="22"/>
                <w:szCs w:val="22"/>
                <w:lang w:val="en-US"/>
              </w:rPr>
              <w:t xml:space="preserve"> and </w:t>
            </w:r>
            <w:proofErr w:type="spellStart"/>
            <w:r w:rsidRPr="00313418">
              <w:rPr>
                <w:sz w:val="22"/>
                <w:szCs w:val="22"/>
                <w:lang w:val="en-US"/>
              </w:rPr>
              <w:t>Guatarri</w:t>
            </w:r>
            <w:proofErr w:type="spellEnd"/>
            <w:r w:rsidRPr="00313418">
              <w:rPr>
                <w:sz w:val="22"/>
                <w:szCs w:val="22"/>
                <w:lang w:val="en-US"/>
              </w:rPr>
              <w:t xml:space="preserve">. </w:t>
            </w:r>
          </w:p>
          <w:p w:rsidR="00313418" w:rsidRPr="00313418" w:rsidRDefault="00313418" w:rsidP="00313418">
            <w:pPr>
              <w:pStyle w:val="Default"/>
              <w:numPr>
                <w:ilvl w:val="0"/>
                <w:numId w:val="22"/>
              </w:numPr>
              <w:rPr>
                <w:sz w:val="22"/>
                <w:szCs w:val="22"/>
                <w:lang w:val="en-US"/>
              </w:rPr>
            </w:pPr>
            <w:r w:rsidRPr="00313418">
              <w:rPr>
                <w:sz w:val="22"/>
                <w:szCs w:val="22"/>
                <w:lang w:val="en-US"/>
              </w:rPr>
              <w:t xml:space="preserve">• Post-humanism as a new ethical imperative. </w:t>
            </w:r>
          </w:p>
          <w:p w:rsidR="00313418" w:rsidRPr="00313418" w:rsidRDefault="00313418" w:rsidP="00313418">
            <w:pPr>
              <w:pStyle w:val="Default"/>
              <w:rPr>
                <w:sz w:val="22"/>
                <w:szCs w:val="22"/>
                <w:lang w:val="en-US"/>
              </w:rPr>
            </w:pPr>
          </w:p>
          <w:p w:rsidR="00313418" w:rsidRPr="00313418" w:rsidRDefault="00313418" w:rsidP="00313418">
            <w:pPr>
              <w:pStyle w:val="Default"/>
              <w:rPr>
                <w:sz w:val="22"/>
                <w:szCs w:val="22"/>
                <w:lang w:val="en-US"/>
              </w:rPr>
            </w:pPr>
            <w:r w:rsidRPr="00313418">
              <w:rPr>
                <w:b/>
                <w:bCs/>
                <w:sz w:val="22"/>
                <w:szCs w:val="22"/>
                <w:lang w:val="en-US"/>
              </w:rPr>
              <w:t xml:space="preserve">Class participation and attendance </w:t>
            </w:r>
            <w:r w:rsidRPr="00313418">
              <w:rPr>
                <w:sz w:val="22"/>
                <w:szCs w:val="22"/>
                <w:lang w:val="en-US"/>
              </w:rPr>
              <w:t xml:space="preserve">10% </w:t>
            </w:r>
          </w:p>
          <w:p w:rsidR="00313418" w:rsidRPr="00313418" w:rsidRDefault="00313418" w:rsidP="00313418">
            <w:pPr>
              <w:pStyle w:val="Default"/>
              <w:rPr>
                <w:sz w:val="22"/>
                <w:szCs w:val="22"/>
                <w:lang w:val="en-US"/>
              </w:rPr>
            </w:pPr>
            <w:r w:rsidRPr="00313418">
              <w:rPr>
                <w:b/>
                <w:bCs/>
                <w:sz w:val="22"/>
                <w:szCs w:val="22"/>
                <w:lang w:val="en-US"/>
              </w:rPr>
              <w:t xml:space="preserve">Final Examination Paper </w:t>
            </w:r>
            <w:r w:rsidRPr="00313418">
              <w:rPr>
                <w:sz w:val="22"/>
                <w:szCs w:val="22"/>
                <w:lang w:val="en-US"/>
              </w:rPr>
              <w:t xml:space="preserve">35% </w:t>
            </w:r>
          </w:p>
          <w:p w:rsidR="00313418" w:rsidRPr="00313418" w:rsidRDefault="00313418" w:rsidP="00313418">
            <w:pPr>
              <w:pStyle w:val="Default"/>
              <w:rPr>
                <w:sz w:val="22"/>
                <w:szCs w:val="22"/>
                <w:lang w:val="en-US"/>
              </w:rPr>
            </w:pPr>
            <w:r w:rsidRPr="00313418">
              <w:rPr>
                <w:sz w:val="22"/>
                <w:szCs w:val="22"/>
                <w:lang w:val="en-US"/>
              </w:rPr>
              <w:t>(</w:t>
            </w:r>
            <w:proofErr w:type="gramStart"/>
            <w:r w:rsidRPr="00313418">
              <w:rPr>
                <w:sz w:val="22"/>
                <w:szCs w:val="22"/>
                <w:lang w:val="en-US"/>
              </w:rPr>
              <w:t>about</w:t>
            </w:r>
            <w:proofErr w:type="gramEnd"/>
            <w:r w:rsidRPr="00313418">
              <w:rPr>
                <w:sz w:val="22"/>
                <w:szCs w:val="22"/>
                <w:lang w:val="en-US"/>
              </w:rPr>
              <w:t xml:space="preserve"> 2000 words): You are free to choose your own topic. The one requirement is that your analysis should draw on the work of at least two theorists that we have covered (or the equivalent). You may want to apply theoretical perspectives to analyzing a literary text. </w:t>
            </w:r>
            <w:proofErr w:type="gramStart"/>
            <w:r w:rsidRPr="00313418">
              <w:rPr>
                <w:sz w:val="22"/>
                <w:szCs w:val="22"/>
                <w:lang w:val="en-US"/>
              </w:rPr>
              <w:t>Or</w:t>
            </w:r>
            <w:proofErr w:type="gramEnd"/>
            <w:r w:rsidRPr="00313418">
              <w:rPr>
                <w:sz w:val="22"/>
                <w:szCs w:val="22"/>
                <w:lang w:val="en-US"/>
              </w:rPr>
              <w:t xml:space="preserve"> you may write on a purely theoretical topic—how different theorists approach some common problem. </w:t>
            </w:r>
          </w:p>
          <w:p w:rsidR="00313418" w:rsidRPr="00313418" w:rsidRDefault="00313418" w:rsidP="00313418">
            <w:pPr>
              <w:pStyle w:val="Default"/>
              <w:rPr>
                <w:sz w:val="22"/>
                <w:szCs w:val="22"/>
                <w:lang w:val="en-US"/>
              </w:rPr>
            </w:pPr>
            <w:r w:rsidRPr="00313418">
              <w:rPr>
                <w:i/>
                <w:iCs/>
                <w:sz w:val="22"/>
                <w:szCs w:val="22"/>
                <w:lang w:val="en-US"/>
              </w:rPr>
              <w:t xml:space="preserve">Some examples of purely theoretical topics: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Human beings and machines in </w:t>
            </w:r>
            <w:proofErr w:type="spellStart"/>
            <w:r w:rsidRPr="00313418">
              <w:rPr>
                <w:sz w:val="22"/>
                <w:szCs w:val="22"/>
                <w:lang w:val="en-US"/>
              </w:rPr>
              <w:t>Deleuze</w:t>
            </w:r>
            <w:proofErr w:type="spellEnd"/>
            <w:r w:rsidRPr="00313418">
              <w:rPr>
                <w:sz w:val="22"/>
                <w:szCs w:val="22"/>
                <w:lang w:val="en-US"/>
              </w:rPr>
              <w:t xml:space="preserve"> and </w:t>
            </w:r>
            <w:proofErr w:type="spellStart"/>
            <w:r w:rsidRPr="00313418">
              <w:rPr>
                <w:sz w:val="22"/>
                <w:szCs w:val="22"/>
                <w:lang w:val="en-US"/>
              </w:rPr>
              <w:t>Guatarri</w:t>
            </w:r>
            <w:proofErr w:type="spellEnd"/>
            <w:r w:rsidRPr="00313418">
              <w:rPr>
                <w:sz w:val="22"/>
                <w:szCs w:val="22"/>
                <w:lang w:val="en-US"/>
              </w:rPr>
              <w:t xml:space="preserve">, Donna </w:t>
            </w:r>
            <w:proofErr w:type="spellStart"/>
            <w:r w:rsidRPr="00313418">
              <w:rPr>
                <w:sz w:val="22"/>
                <w:szCs w:val="22"/>
                <w:lang w:val="en-US"/>
              </w:rPr>
              <w:t>Haraway</w:t>
            </w:r>
            <w:proofErr w:type="spellEnd"/>
            <w:r w:rsidRPr="00313418">
              <w:rPr>
                <w:sz w:val="22"/>
                <w:szCs w:val="22"/>
                <w:lang w:val="en-US"/>
              </w:rPr>
              <w:t xml:space="preserve">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The rejection of the subject in </w:t>
            </w:r>
            <w:proofErr w:type="spellStart"/>
            <w:r w:rsidRPr="00313418">
              <w:rPr>
                <w:sz w:val="22"/>
                <w:szCs w:val="22"/>
                <w:lang w:val="en-US"/>
              </w:rPr>
              <w:t>Deleuze</w:t>
            </w:r>
            <w:proofErr w:type="spellEnd"/>
            <w:r w:rsidRPr="00313418">
              <w:rPr>
                <w:sz w:val="22"/>
                <w:szCs w:val="22"/>
                <w:lang w:val="en-US"/>
              </w:rPr>
              <w:t xml:space="preserve"> and </w:t>
            </w:r>
            <w:proofErr w:type="spellStart"/>
            <w:r w:rsidRPr="00313418">
              <w:rPr>
                <w:sz w:val="22"/>
                <w:szCs w:val="22"/>
                <w:lang w:val="en-US"/>
              </w:rPr>
              <w:t>Guatarri</w:t>
            </w:r>
            <w:proofErr w:type="spellEnd"/>
            <w:r w:rsidRPr="00313418">
              <w:rPr>
                <w:sz w:val="22"/>
                <w:szCs w:val="22"/>
                <w:lang w:val="en-US"/>
              </w:rPr>
              <w:t xml:space="preserve">, Judith Butler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Language and money in Foucault and Derrida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Colonialism and the subject in Fanon and </w:t>
            </w:r>
            <w:proofErr w:type="spellStart"/>
            <w:r w:rsidRPr="00313418">
              <w:rPr>
                <w:sz w:val="22"/>
                <w:szCs w:val="22"/>
                <w:lang w:val="en-US"/>
              </w:rPr>
              <w:t>Spivak</w:t>
            </w:r>
            <w:proofErr w:type="spellEnd"/>
            <w:r w:rsidRPr="00313418">
              <w:rPr>
                <w:sz w:val="22"/>
                <w:szCs w:val="22"/>
                <w:lang w:val="en-US"/>
              </w:rPr>
              <w:t xml:space="preserve">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Literary narratives in Said and Benedict Anderson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Gender, sexuality, and social control in Foucault and Judith Butler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The oedipal complex in Freud and </w:t>
            </w:r>
            <w:proofErr w:type="spellStart"/>
            <w:r w:rsidRPr="00313418">
              <w:rPr>
                <w:sz w:val="22"/>
                <w:szCs w:val="22"/>
                <w:lang w:val="en-US"/>
              </w:rPr>
              <w:t>Lacan</w:t>
            </w:r>
            <w:proofErr w:type="spellEnd"/>
            <w:r w:rsidRPr="00313418">
              <w:rPr>
                <w:sz w:val="22"/>
                <w:szCs w:val="22"/>
                <w:lang w:val="en-US"/>
              </w:rPr>
              <w:t xml:space="preserve"> </w:t>
            </w:r>
          </w:p>
          <w:p w:rsidR="00313418" w:rsidRPr="00313418" w:rsidRDefault="00313418" w:rsidP="00313418">
            <w:pPr>
              <w:pStyle w:val="Default"/>
              <w:numPr>
                <w:ilvl w:val="0"/>
                <w:numId w:val="23"/>
              </w:numPr>
              <w:rPr>
                <w:sz w:val="22"/>
                <w:szCs w:val="22"/>
                <w:lang w:val="en-US"/>
              </w:rPr>
            </w:pPr>
            <w:r w:rsidRPr="00313418">
              <w:rPr>
                <w:sz w:val="22"/>
                <w:szCs w:val="22"/>
                <w:lang w:val="en-US"/>
              </w:rPr>
              <w:t xml:space="preserve">• Consumerism and desire in </w:t>
            </w:r>
            <w:proofErr w:type="spellStart"/>
            <w:r w:rsidRPr="00313418">
              <w:rPr>
                <w:sz w:val="22"/>
                <w:szCs w:val="22"/>
                <w:lang w:val="en-US"/>
              </w:rPr>
              <w:t>Baudrillard</w:t>
            </w:r>
            <w:proofErr w:type="spellEnd"/>
            <w:r w:rsidRPr="00313418">
              <w:rPr>
                <w:sz w:val="22"/>
                <w:szCs w:val="22"/>
                <w:lang w:val="en-US"/>
              </w:rPr>
              <w:t xml:space="preserve"> and </w:t>
            </w:r>
            <w:proofErr w:type="spellStart"/>
            <w:r w:rsidRPr="00313418">
              <w:rPr>
                <w:sz w:val="22"/>
                <w:szCs w:val="22"/>
                <w:lang w:val="en-US"/>
              </w:rPr>
              <w:t>Žižek</w:t>
            </w:r>
            <w:proofErr w:type="spellEnd"/>
            <w:r w:rsidRPr="00313418">
              <w:rPr>
                <w:sz w:val="22"/>
                <w:szCs w:val="22"/>
                <w:lang w:val="en-US"/>
              </w:rPr>
              <w:t xml:space="preserve"> </w:t>
            </w:r>
          </w:p>
          <w:p w:rsidR="00467475" w:rsidRPr="00313418" w:rsidRDefault="00313418" w:rsidP="00B2506F">
            <w:pPr>
              <w:pStyle w:val="Default"/>
              <w:numPr>
                <w:ilvl w:val="0"/>
                <w:numId w:val="23"/>
              </w:numPr>
              <w:rPr>
                <w:sz w:val="22"/>
                <w:szCs w:val="22"/>
                <w:lang w:val="en-US"/>
              </w:rPr>
            </w:pPr>
            <w:r w:rsidRPr="00313418">
              <w:rPr>
                <w:sz w:val="22"/>
                <w:szCs w:val="22"/>
                <w:lang w:val="en-US"/>
              </w:rPr>
              <w:t>• The system of signs and differen</w:t>
            </w:r>
            <w:r w:rsidRPr="00313418">
              <w:rPr>
                <w:sz w:val="22"/>
                <w:szCs w:val="22"/>
                <w:lang w:val="en-US"/>
              </w:rPr>
              <w:t xml:space="preserve">ces in Derrida and </w:t>
            </w:r>
            <w:proofErr w:type="spellStart"/>
            <w:r w:rsidRPr="00313418">
              <w:rPr>
                <w:sz w:val="22"/>
                <w:szCs w:val="22"/>
                <w:lang w:val="en-US"/>
              </w:rPr>
              <w:t>Baudrillard</w:t>
            </w:r>
            <w:proofErr w:type="spellEnd"/>
            <w:r w:rsidRPr="00313418">
              <w:rPr>
                <w:sz w:val="22"/>
                <w:szCs w:val="22"/>
                <w:lang w:val="en-US"/>
              </w:rPr>
              <w:t xml:space="preserve"> </w:t>
            </w:r>
          </w:p>
        </w:tc>
      </w:tr>
      <w:tr w:rsidR="00467475" w:rsidRPr="00310A0E" w:rsidTr="00313418">
        <w:tc>
          <w:tcPr>
            <w:tcW w:w="2611" w:type="dxa"/>
            <w:gridSpan w:val="2"/>
            <w:shd w:val="clear" w:color="auto" w:fill="92CDDC" w:themeFill="accent5" w:themeFillTint="99"/>
            <w:tcMar>
              <w:top w:w="57" w:type="dxa"/>
              <w:left w:w="57" w:type="dxa"/>
              <w:bottom w:w="57" w:type="dxa"/>
              <w:right w:w="57" w:type="dxa"/>
            </w:tcMar>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r>
              <w:rPr>
                <w:rStyle w:val="a6"/>
                <w:rFonts w:ascii="Times New Roman" w:eastAsiaTheme="minorHAnsi" w:hAnsi="Times New Roman"/>
                <w:sz w:val="24"/>
                <w:szCs w:val="24"/>
                <w:lang w:val="en-US"/>
              </w:rPr>
              <w:footnoteReference w:id="3"/>
            </w:r>
          </w:p>
          <w:p w:rsidR="00467475" w:rsidRDefault="00467475" w:rsidP="00467475">
            <w:pPr>
              <w:spacing w:after="0" w:line="240" w:lineRule="auto"/>
              <w:rPr>
                <w:rFonts w:ascii="Times New Roman" w:eastAsiaTheme="minorHAnsi" w:hAnsi="Times New Roman"/>
                <w:sz w:val="24"/>
                <w:szCs w:val="24"/>
                <w:lang w:val="en-US"/>
              </w:rPr>
            </w:pPr>
          </w:p>
        </w:tc>
        <w:tc>
          <w:tcPr>
            <w:tcW w:w="7313" w:type="dxa"/>
            <w:gridSpan w:val="7"/>
            <w:tcMar>
              <w:top w:w="57" w:type="dxa"/>
              <w:left w:w="57" w:type="dxa"/>
              <w:bottom w:w="57" w:type="dxa"/>
              <w:right w:w="57" w:type="dxa"/>
            </w:tcMar>
          </w:tcPr>
          <w:p w:rsidR="00313418" w:rsidRPr="00313418" w:rsidRDefault="00313418" w:rsidP="00313418">
            <w:pPr>
              <w:pStyle w:val="Default"/>
              <w:rPr>
                <w:sz w:val="23"/>
                <w:szCs w:val="23"/>
                <w:lang w:val="en-US"/>
              </w:rPr>
            </w:pPr>
            <w:r w:rsidRPr="00313418">
              <w:rPr>
                <w:sz w:val="23"/>
                <w:szCs w:val="23"/>
                <w:lang w:val="en-US"/>
              </w:rPr>
              <w:t xml:space="preserve">Mandatory </w:t>
            </w:r>
          </w:p>
          <w:p w:rsidR="00313418" w:rsidRPr="00313418" w:rsidRDefault="00313418" w:rsidP="00313418">
            <w:pPr>
              <w:pStyle w:val="Default"/>
              <w:rPr>
                <w:sz w:val="23"/>
                <w:szCs w:val="23"/>
                <w:lang w:val="en-US"/>
              </w:rPr>
            </w:pPr>
            <w:r w:rsidRPr="00313418">
              <w:rPr>
                <w:sz w:val="23"/>
                <w:szCs w:val="23"/>
                <w:lang w:val="en-US"/>
              </w:rPr>
              <w:t xml:space="preserve">1) </w:t>
            </w:r>
            <w:proofErr w:type="spellStart"/>
            <w:r w:rsidRPr="00313418">
              <w:rPr>
                <w:sz w:val="23"/>
                <w:szCs w:val="23"/>
                <w:lang w:val="en-US"/>
              </w:rPr>
              <w:t>LaCapra</w:t>
            </w:r>
            <w:proofErr w:type="spellEnd"/>
            <w:r w:rsidRPr="00313418">
              <w:rPr>
                <w:sz w:val="23"/>
                <w:szCs w:val="23"/>
                <w:lang w:val="en-US"/>
              </w:rPr>
              <w:t xml:space="preserve">, D. </w:t>
            </w:r>
            <w:r w:rsidRPr="00313418">
              <w:rPr>
                <w:i/>
                <w:iCs/>
                <w:sz w:val="23"/>
                <w:szCs w:val="23"/>
                <w:lang w:val="en-US"/>
              </w:rPr>
              <w:t>History, Literature, Critical Theory</w:t>
            </w:r>
            <w:r w:rsidRPr="00313418">
              <w:rPr>
                <w:sz w:val="23"/>
                <w:szCs w:val="23"/>
                <w:lang w:val="en-US"/>
              </w:rPr>
              <w:t xml:space="preserve">. Cornell University Press, 2013. </w:t>
            </w:r>
            <w:r w:rsidRPr="00313418">
              <w:rPr>
                <w:i/>
                <w:iCs/>
                <w:sz w:val="23"/>
                <w:szCs w:val="23"/>
                <w:lang w:val="en-US"/>
              </w:rPr>
              <w:t xml:space="preserve">ProQuest </w:t>
            </w:r>
          </w:p>
          <w:p w:rsidR="00313418" w:rsidRPr="00313418" w:rsidRDefault="00313418" w:rsidP="00313418">
            <w:pPr>
              <w:pStyle w:val="Default"/>
              <w:rPr>
                <w:sz w:val="23"/>
                <w:szCs w:val="23"/>
                <w:lang w:val="en-US"/>
              </w:rPr>
            </w:pPr>
          </w:p>
          <w:p w:rsidR="00313418" w:rsidRPr="00313418" w:rsidRDefault="00313418" w:rsidP="00313418">
            <w:pPr>
              <w:pStyle w:val="Default"/>
              <w:rPr>
                <w:sz w:val="23"/>
                <w:szCs w:val="23"/>
                <w:lang w:val="en-US"/>
              </w:rPr>
            </w:pPr>
            <w:r w:rsidRPr="00313418">
              <w:rPr>
                <w:sz w:val="23"/>
                <w:szCs w:val="23"/>
                <w:lang w:val="en-US"/>
              </w:rPr>
              <w:t xml:space="preserve">Optional </w:t>
            </w:r>
          </w:p>
          <w:p w:rsidR="00313418" w:rsidRPr="00313418" w:rsidRDefault="00313418" w:rsidP="00313418">
            <w:pPr>
              <w:pStyle w:val="Default"/>
              <w:rPr>
                <w:sz w:val="23"/>
                <w:szCs w:val="23"/>
                <w:lang w:val="en-US"/>
              </w:rPr>
            </w:pPr>
            <w:r w:rsidRPr="00313418">
              <w:rPr>
                <w:sz w:val="23"/>
                <w:szCs w:val="23"/>
                <w:lang w:val="en-US"/>
              </w:rPr>
              <w:t xml:space="preserve">1) Osborne, T. </w:t>
            </w:r>
            <w:r w:rsidRPr="00313418">
              <w:rPr>
                <w:i/>
                <w:iCs/>
                <w:sz w:val="23"/>
                <w:szCs w:val="23"/>
                <w:lang w:val="en-US"/>
              </w:rPr>
              <w:t>The Structure of Modern Cultural Theory</w:t>
            </w:r>
            <w:r w:rsidRPr="00313418">
              <w:rPr>
                <w:sz w:val="23"/>
                <w:szCs w:val="23"/>
                <w:lang w:val="en-US"/>
              </w:rPr>
              <w:t xml:space="preserve">. Manchester University Press, 2008. </w:t>
            </w:r>
            <w:r w:rsidRPr="00313418">
              <w:rPr>
                <w:i/>
                <w:iCs/>
                <w:sz w:val="23"/>
                <w:szCs w:val="23"/>
                <w:lang w:val="en-US"/>
              </w:rPr>
              <w:t xml:space="preserve">ProQuest </w:t>
            </w:r>
          </w:p>
          <w:p w:rsidR="00313418" w:rsidRPr="00313418" w:rsidRDefault="00313418" w:rsidP="00313418">
            <w:pPr>
              <w:pStyle w:val="Default"/>
              <w:rPr>
                <w:sz w:val="23"/>
                <w:szCs w:val="23"/>
                <w:lang w:val="en-US"/>
              </w:rPr>
            </w:pPr>
            <w:r w:rsidRPr="00313418">
              <w:rPr>
                <w:sz w:val="23"/>
                <w:szCs w:val="23"/>
                <w:lang w:val="en-US"/>
              </w:rPr>
              <w:t xml:space="preserve">2) Taylor, D. </w:t>
            </w:r>
            <w:r w:rsidRPr="00313418">
              <w:rPr>
                <w:i/>
                <w:iCs/>
                <w:sz w:val="23"/>
                <w:szCs w:val="23"/>
                <w:lang w:val="en-US"/>
              </w:rPr>
              <w:t>Michel Foucault: Key Concepts</w:t>
            </w:r>
            <w:r w:rsidRPr="00313418">
              <w:rPr>
                <w:sz w:val="23"/>
                <w:szCs w:val="23"/>
                <w:lang w:val="en-US"/>
              </w:rPr>
              <w:t xml:space="preserve">. Routledge, 2014. </w:t>
            </w:r>
            <w:r w:rsidRPr="00313418">
              <w:rPr>
                <w:i/>
                <w:iCs/>
                <w:sz w:val="23"/>
                <w:szCs w:val="23"/>
                <w:lang w:val="en-US"/>
              </w:rPr>
              <w:t xml:space="preserve">ProQuest </w:t>
            </w:r>
          </w:p>
          <w:p w:rsidR="00313418" w:rsidRPr="00313418" w:rsidRDefault="00313418" w:rsidP="00313418">
            <w:pPr>
              <w:pStyle w:val="Default"/>
              <w:rPr>
                <w:sz w:val="23"/>
                <w:szCs w:val="23"/>
                <w:lang w:val="en-US"/>
              </w:rPr>
            </w:pPr>
            <w:r w:rsidRPr="00313418">
              <w:rPr>
                <w:sz w:val="23"/>
                <w:szCs w:val="23"/>
                <w:lang w:val="en-US"/>
              </w:rPr>
              <w:lastRenderedPageBreak/>
              <w:t xml:space="preserve">3) </w:t>
            </w:r>
            <w:proofErr w:type="spellStart"/>
            <w:r w:rsidRPr="00313418">
              <w:rPr>
                <w:sz w:val="23"/>
                <w:szCs w:val="23"/>
                <w:lang w:val="en-US"/>
              </w:rPr>
              <w:t>Wortham</w:t>
            </w:r>
            <w:proofErr w:type="spellEnd"/>
            <w:r w:rsidRPr="00313418">
              <w:rPr>
                <w:sz w:val="23"/>
                <w:szCs w:val="23"/>
                <w:lang w:val="en-US"/>
              </w:rPr>
              <w:t xml:space="preserve">, S. M., and S. Morgan </w:t>
            </w:r>
            <w:proofErr w:type="spellStart"/>
            <w:r w:rsidRPr="00313418">
              <w:rPr>
                <w:sz w:val="23"/>
                <w:szCs w:val="23"/>
                <w:lang w:val="en-US"/>
              </w:rPr>
              <w:t>Wortham</w:t>
            </w:r>
            <w:proofErr w:type="spellEnd"/>
            <w:r w:rsidRPr="00313418">
              <w:rPr>
                <w:sz w:val="23"/>
                <w:szCs w:val="23"/>
                <w:lang w:val="en-US"/>
              </w:rPr>
              <w:t xml:space="preserve">. </w:t>
            </w:r>
            <w:r w:rsidRPr="00313418">
              <w:rPr>
                <w:i/>
                <w:iCs/>
                <w:sz w:val="23"/>
                <w:szCs w:val="23"/>
                <w:lang w:val="en-US"/>
              </w:rPr>
              <w:t xml:space="preserve">The Derrida Dictionary. </w:t>
            </w:r>
            <w:r w:rsidRPr="00313418">
              <w:rPr>
                <w:sz w:val="23"/>
                <w:szCs w:val="23"/>
                <w:lang w:val="en-US"/>
              </w:rPr>
              <w:t xml:space="preserve">Bloomsbury, 2010. </w:t>
            </w:r>
            <w:r w:rsidRPr="00313418">
              <w:rPr>
                <w:i/>
                <w:iCs/>
                <w:sz w:val="23"/>
                <w:szCs w:val="23"/>
                <w:lang w:val="en-US"/>
              </w:rPr>
              <w:t xml:space="preserve">ProQuest </w:t>
            </w:r>
          </w:p>
          <w:p w:rsidR="00467475" w:rsidRPr="00313418" w:rsidRDefault="00313418" w:rsidP="00313418">
            <w:pPr>
              <w:pStyle w:val="Default"/>
              <w:rPr>
                <w:sz w:val="23"/>
                <w:szCs w:val="23"/>
                <w:lang w:val="en-US"/>
              </w:rPr>
            </w:pPr>
            <w:r w:rsidRPr="00313418">
              <w:rPr>
                <w:sz w:val="23"/>
                <w:szCs w:val="23"/>
                <w:lang w:val="en-US"/>
              </w:rPr>
              <w:t xml:space="preserve">4) Tally, Robert T. </w:t>
            </w:r>
            <w:r w:rsidRPr="00313418">
              <w:rPr>
                <w:i/>
                <w:iCs/>
                <w:sz w:val="23"/>
                <w:szCs w:val="23"/>
                <w:lang w:val="en-US"/>
              </w:rPr>
              <w:t xml:space="preserve">Fredric Jameson: The Project of Dialectical </w:t>
            </w:r>
          </w:p>
        </w:tc>
      </w:tr>
      <w:tr w:rsidR="00467475" w:rsidTr="00313418">
        <w:tc>
          <w:tcPr>
            <w:tcW w:w="2611" w:type="dxa"/>
            <w:gridSpan w:val="2"/>
            <w:shd w:val="clear" w:color="auto" w:fill="92CDDC" w:themeFill="accent5" w:themeFillTint="99"/>
            <w:tcMar>
              <w:top w:w="57" w:type="dxa"/>
              <w:left w:w="57" w:type="dxa"/>
              <w:bottom w:w="57" w:type="dxa"/>
              <w:right w:w="57" w:type="dxa"/>
            </w:tcMar>
            <w:hideMark/>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313" w:type="dxa"/>
            <w:gridSpan w:val="7"/>
            <w:shd w:val="clear" w:color="auto" w:fill="DAEEF3" w:themeFill="accent5" w:themeFillTint="33"/>
            <w:tcMar>
              <w:top w:w="57" w:type="dxa"/>
              <w:left w:w="57" w:type="dxa"/>
              <w:bottom w:w="57" w:type="dxa"/>
              <w:right w:w="57" w:type="dxa"/>
            </w:tcMar>
          </w:tcPr>
          <w:p w:rsidR="00467475" w:rsidRPr="00B2506F" w:rsidRDefault="00313418" w:rsidP="00B2506F">
            <w:pPr>
              <w:pStyle w:val="Default"/>
              <w:rPr>
                <w:sz w:val="23"/>
                <w:szCs w:val="23"/>
              </w:rPr>
            </w:pPr>
            <w:proofErr w:type="spellStart"/>
            <w:r>
              <w:rPr>
                <w:sz w:val="23"/>
                <w:szCs w:val="23"/>
              </w:rPr>
              <w:t>Vadim</w:t>
            </w:r>
            <w:proofErr w:type="spellEnd"/>
            <w:r>
              <w:rPr>
                <w:sz w:val="23"/>
                <w:szCs w:val="23"/>
              </w:rPr>
              <w:t xml:space="preserve"> </w:t>
            </w:r>
            <w:proofErr w:type="spellStart"/>
            <w:r>
              <w:rPr>
                <w:sz w:val="23"/>
                <w:szCs w:val="23"/>
              </w:rPr>
              <w:t>Shkolnikov</w:t>
            </w:r>
            <w:proofErr w:type="spellEnd"/>
            <w:r>
              <w:rPr>
                <w:sz w:val="23"/>
                <w:szCs w:val="23"/>
              </w:rPr>
              <w:t xml:space="preserve"> </w:t>
            </w:r>
            <w:bookmarkStart w:id="0" w:name="_GoBack"/>
            <w:bookmarkEnd w:id="0"/>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46" w:rsidRDefault="00050B46" w:rsidP="00F31F02">
      <w:pPr>
        <w:spacing w:after="0" w:line="240" w:lineRule="auto"/>
      </w:pPr>
      <w:r>
        <w:separator/>
      </w:r>
    </w:p>
  </w:endnote>
  <w:endnote w:type="continuationSeparator" w:id="0">
    <w:p w:rsidR="00050B46" w:rsidRDefault="00050B46"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46" w:rsidRDefault="00050B46" w:rsidP="00F31F02">
      <w:pPr>
        <w:spacing w:after="0" w:line="240" w:lineRule="auto"/>
      </w:pPr>
      <w:r>
        <w:separator/>
      </w:r>
    </w:p>
  </w:footnote>
  <w:footnote w:type="continuationSeparator" w:id="0">
    <w:p w:rsidR="00050B46" w:rsidRDefault="00050B46" w:rsidP="00F31F02">
      <w:pPr>
        <w:spacing w:after="0" w:line="240" w:lineRule="auto"/>
      </w:pPr>
      <w:r>
        <w:continuationSeparator/>
      </w:r>
    </w:p>
  </w:footnote>
  <w:footnote w:id="1">
    <w:p w:rsidR="00081179" w:rsidRPr="00925F7A" w:rsidRDefault="00081179"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081179" w:rsidRPr="00925F7A" w:rsidRDefault="00081179" w:rsidP="00F31F02">
      <w:pPr>
        <w:spacing w:after="0" w:line="240" w:lineRule="auto"/>
        <w:jc w:val="both"/>
        <w:rPr>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Type of the course - core (mandatory)</w:t>
      </w:r>
      <w:proofErr w:type="gramStart"/>
      <w:r w:rsidRPr="00925F7A">
        <w:rPr>
          <w:rFonts w:ascii="Times New Roman" w:eastAsiaTheme="minorHAnsi" w:hAnsi="Times New Roman"/>
          <w:lang w:val="en-US"/>
        </w:rPr>
        <w:t>;</w:t>
      </w:r>
      <w:proofErr w:type="gramEnd"/>
      <w:r w:rsidRPr="00925F7A">
        <w:rPr>
          <w:rFonts w:ascii="Times New Roman" w:eastAsiaTheme="minorHAnsi" w:hAnsi="Times New Roman"/>
          <w:lang w:val="en-US"/>
        </w:rPr>
        <w:t xml:space="preserve"> optional or elective.</w:t>
      </w:r>
    </w:p>
  </w:footnote>
  <w:footnote w:id="2">
    <w:p w:rsidR="00081179" w:rsidRPr="00925F7A" w:rsidRDefault="00081179">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proofErr w:type="gram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w:t>
      </w:r>
      <w:proofErr w:type="gramEnd"/>
      <w:r w:rsidRPr="00925F7A">
        <w:rPr>
          <w:rFonts w:ascii="Times New Roman" w:eastAsiaTheme="minorHAnsi" w:hAnsi="Times New Roman"/>
          <w:sz w:val="22"/>
          <w:szCs w:val="22"/>
          <w:lang w:val="en-US"/>
        </w:rPr>
        <w:t xml:space="preserve"> are exposed to international accreditation or other forms of external evaluation, the list of ILO must be complemented with “Mapping of Programme and Course/module learning outcomes”.</w:t>
      </w:r>
    </w:p>
  </w:footnote>
  <w:footnote w:id="3">
    <w:p w:rsidR="00467475" w:rsidRPr="00925F7A" w:rsidRDefault="00467475"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 xml:space="preserve">Indicative Learning Resources - to </w:t>
      </w:r>
      <w:proofErr w:type="gramStart"/>
      <w:r w:rsidRPr="00925F7A">
        <w:rPr>
          <w:rFonts w:ascii="Times New Roman" w:eastAsiaTheme="minorHAnsi" w:hAnsi="Times New Roman"/>
          <w:lang w:val="en-US"/>
        </w:rPr>
        <w:t>be filled</w:t>
      </w:r>
      <w:proofErr w:type="gramEnd"/>
      <w:r w:rsidRPr="00925F7A">
        <w:rPr>
          <w:rFonts w:ascii="Times New Roman" w:eastAsiaTheme="minorHAnsi" w:hAnsi="Times New Roman"/>
          <w:lang w:val="en-US"/>
        </w:rPr>
        <w:t xml:space="preserve"> either in the Course descriptor or in the Course Syllabus.</w:t>
      </w:r>
    </w:p>
    <w:p w:rsidR="00467475" w:rsidRPr="00F31F02" w:rsidRDefault="00467475">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FB95D"/>
    <w:multiLevelType w:val="hybridMultilevel"/>
    <w:tmpl w:val="D1C2A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088D22"/>
    <w:multiLevelType w:val="hybridMultilevel"/>
    <w:tmpl w:val="C6FD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07E25"/>
    <w:multiLevelType w:val="hybridMultilevel"/>
    <w:tmpl w:val="286ADC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DC8CD"/>
    <w:multiLevelType w:val="hybridMultilevel"/>
    <w:tmpl w:val="987CFD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8C3CFB"/>
    <w:multiLevelType w:val="multilevel"/>
    <w:tmpl w:val="766C8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9C92D99"/>
    <w:multiLevelType w:val="hybridMultilevel"/>
    <w:tmpl w:val="0AEC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7238F"/>
    <w:multiLevelType w:val="hybridMultilevel"/>
    <w:tmpl w:val="1136A73A"/>
    <w:lvl w:ilvl="0" w:tplc="76B20E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8985D"/>
    <w:multiLevelType w:val="hybridMultilevel"/>
    <w:tmpl w:val="570B95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320734"/>
    <w:multiLevelType w:val="hybridMultilevel"/>
    <w:tmpl w:val="22AC9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E5DFE"/>
    <w:multiLevelType w:val="hybridMultilevel"/>
    <w:tmpl w:val="8C4CD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37D40"/>
    <w:multiLevelType w:val="hybridMultilevel"/>
    <w:tmpl w:val="822D0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6E9C95A"/>
    <w:multiLevelType w:val="hybridMultilevel"/>
    <w:tmpl w:val="3FFEC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BC66E5"/>
    <w:multiLevelType w:val="hybridMultilevel"/>
    <w:tmpl w:val="4778520C"/>
    <w:lvl w:ilvl="0" w:tplc="A4E695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B20B1"/>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977644"/>
    <w:multiLevelType w:val="hybridMultilevel"/>
    <w:tmpl w:val="A9F8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E74BC0"/>
    <w:multiLevelType w:val="hybridMultilevel"/>
    <w:tmpl w:val="7D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7">
    <w:nsid w:val="6C2F07EB"/>
    <w:multiLevelType w:val="hybridMultilevel"/>
    <w:tmpl w:val="EE40AD20"/>
    <w:lvl w:ilvl="0" w:tplc="914CB1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EE7DAC"/>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42399"/>
    <w:multiLevelType w:val="hybridMultilevel"/>
    <w:tmpl w:val="925EC1CC"/>
    <w:lvl w:ilvl="0" w:tplc="FAA2B0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4D7B6"/>
    <w:multiLevelType w:val="hybridMultilevel"/>
    <w:tmpl w:val="0D5D15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6"/>
  </w:num>
  <w:num w:numId="5">
    <w:abstractNumId w:val="5"/>
  </w:num>
  <w:num w:numId="6">
    <w:abstractNumId w:val="17"/>
  </w:num>
  <w:num w:numId="7">
    <w:abstractNumId w:val="4"/>
  </w:num>
  <w:num w:numId="8">
    <w:abstractNumId w:val="12"/>
  </w:num>
  <w:num w:numId="9">
    <w:abstractNumId w:val="9"/>
  </w:num>
  <w:num w:numId="10">
    <w:abstractNumId w:val="2"/>
  </w:num>
  <w:num w:numId="11">
    <w:abstractNumId w:val="18"/>
  </w:num>
  <w:num w:numId="12">
    <w:abstractNumId w:val="13"/>
  </w:num>
  <w:num w:numId="13">
    <w:abstractNumId w:val="15"/>
  </w:num>
  <w:num w:numId="14">
    <w:abstractNumId w:val="19"/>
  </w:num>
  <w:num w:numId="15">
    <w:abstractNumId w:val="1"/>
  </w:num>
  <w:num w:numId="16">
    <w:abstractNumId w:val="20"/>
  </w:num>
  <w:num w:numId="17">
    <w:abstractNumId w:val="0"/>
  </w:num>
  <w:num w:numId="18">
    <w:abstractNumId w:val="14"/>
  </w:num>
  <w:num w:numId="19">
    <w:abstractNumId w:val="8"/>
  </w:num>
  <w:num w:numId="20">
    <w:abstractNumId w:val="3"/>
  </w:num>
  <w:num w:numId="21">
    <w:abstractNumId w:val="1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16FD6"/>
    <w:rsid w:val="00050B46"/>
    <w:rsid w:val="00081179"/>
    <w:rsid w:val="001269F5"/>
    <w:rsid w:val="00227878"/>
    <w:rsid w:val="002376BB"/>
    <w:rsid w:val="00310A0E"/>
    <w:rsid w:val="00313418"/>
    <w:rsid w:val="0033665B"/>
    <w:rsid w:val="00350F7A"/>
    <w:rsid w:val="00360ED6"/>
    <w:rsid w:val="004621E2"/>
    <w:rsid w:val="00467475"/>
    <w:rsid w:val="004B1D7A"/>
    <w:rsid w:val="004E303F"/>
    <w:rsid w:val="00554AD8"/>
    <w:rsid w:val="0057785A"/>
    <w:rsid w:val="00581152"/>
    <w:rsid w:val="00613DCA"/>
    <w:rsid w:val="00644510"/>
    <w:rsid w:val="006A0D74"/>
    <w:rsid w:val="006F1B3F"/>
    <w:rsid w:val="007A2171"/>
    <w:rsid w:val="00925F7A"/>
    <w:rsid w:val="00A72C5E"/>
    <w:rsid w:val="00B2506F"/>
    <w:rsid w:val="00B5254A"/>
    <w:rsid w:val="00C42A27"/>
    <w:rsid w:val="00D4693C"/>
    <w:rsid w:val="00D640A5"/>
    <w:rsid w:val="00D85442"/>
    <w:rsid w:val="00D95D7E"/>
    <w:rsid w:val="00DB57AC"/>
    <w:rsid w:val="00E83010"/>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semiHidden/>
    <w:unhideWhenUsed/>
    <w:rsid w:val="00E83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10A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Document Map"/>
    <w:basedOn w:val="a"/>
    <w:link w:val="ac"/>
    <w:uiPriority w:val="99"/>
    <w:semiHidden/>
    <w:rsid w:val="00467475"/>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rsid w:val="00467475"/>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D609-3B81-452A-83C1-D5AFCAD4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Духанина Алена Владимировна</cp:lastModifiedBy>
  <cp:revision>2</cp:revision>
  <cp:lastPrinted>2018-03-13T09:40:00Z</cp:lastPrinted>
  <dcterms:created xsi:type="dcterms:W3CDTF">2019-03-01T07:56:00Z</dcterms:created>
  <dcterms:modified xsi:type="dcterms:W3CDTF">2019-03-01T07:56:00Z</dcterms:modified>
</cp:coreProperties>
</file>