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D4" w:rsidRDefault="00A16FD4" w:rsidP="00C4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Course Syllabus</w:t>
      </w:r>
    </w:p>
    <w:p w:rsidR="00A16FD4" w:rsidRPr="00215062" w:rsidRDefault="00A16FD4" w:rsidP="00C4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121"/>
        <w:gridCol w:w="1704"/>
        <w:gridCol w:w="712"/>
        <w:gridCol w:w="992"/>
        <w:gridCol w:w="1134"/>
        <w:gridCol w:w="426"/>
        <w:gridCol w:w="708"/>
        <w:gridCol w:w="1558"/>
      </w:tblGrid>
      <w:tr w:rsidR="00A16FD4" w:rsidRPr="0078015E" w:rsidTr="006E2F0C">
        <w:tc>
          <w:tcPr>
            <w:tcW w:w="2546" w:type="dxa"/>
            <w:gridSpan w:val="2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FD4" w:rsidRPr="00215062" w:rsidRDefault="00A16F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50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4" w:type="dxa"/>
            <w:gridSpan w:val="7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FD4" w:rsidRPr="00215062" w:rsidRDefault="00780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Industry Innovations and </w:t>
            </w:r>
            <w:r w:rsidR="00215062" w:rsidRPr="0078015E">
              <w:rPr>
                <w:b/>
                <w:lang w:val="en-US"/>
              </w:rPr>
              <w:t>Corporate Venture Funds</w:t>
            </w:r>
          </w:p>
        </w:tc>
      </w:tr>
      <w:tr w:rsidR="00A16FD4" w:rsidRPr="00E30985" w:rsidTr="006E2F0C">
        <w:tc>
          <w:tcPr>
            <w:tcW w:w="2546" w:type="dxa"/>
            <w:gridSpan w:val="2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FD4" w:rsidRDefault="00A1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Title of the Academic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34" w:type="dxa"/>
            <w:gridSpan w:val="7"/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6FD4" w:rsidRDefault="003F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551">
              <w:rPr>
                <w:rFonts w:ascii="Times New Roman" w:hAnsi="Times New Roman"/>
                <w:sz w:val="24"/>
                <w:szCs w:val="24"/>
                <w:lang w:val="en-US"/>
              </w:rPr>
              <w:t>MAGO LEGO</w:t>
            </w:r>
          </w:p>
        </w:tc>
      </w:tr>
      <w:tr w:rsidR="00A16FD4" w:rsidRPr="006E2F0C" w:rsidTr="006E2F0C">
        <w:tc>
          <w:tcPr>
            <w:tcW w:w="2546" w:type="dxa"/>
            <w:gridSpan w:val="2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FD4" w:rsidRDefault="00A16FD4" w:rsidP="006E2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7234" w:type="dxa"/>
            <w:gridSpan w:val="7"/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6FD4" w:rsidRDefault="003F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Elective</w:t>
            </w:r>
          </w:p>
        </w:tc>
      </w:tr>
      <w:tr w:rsidR="00A16FD4" w:rsidRPr="00C42A27" w:rsidTr="006E2F0C">
        <w:trPr>
          <w:trHeight w:val="230"/>
        </w:trPr>
        <w:tc>
          <w:tcPr>
            <w:tcW w:w="2546" w:type="dxa"/>
            <w:gridSpan w:val="2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FD4" w:rsidRDefault="00A1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4" w:type="dxa"/>
            <w:gridSpan w:val="7"/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FD4" w:rsidRDefault="00A1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16FD4" w:rsidRPr="00C42A27" w:rsidTr="006E2F0C">
        <w:trPr>
          <w:trHeight w:val="230"/>
        </w:trPr>
        <w:tc>
          <w:tcPr>
            <w:tcW w:w="2546" w:type="dxa"/>
            <w:gridSpan w:val="2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FD4" w:rsidRDefault="00A1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ECTS workload</w:t>
            </w:r>
          </w:p>
        </w:tc>
        <w:tc>
          <w:tcPr>
            <w:tcW w:w="7234" w:type="dxa"/>
            <w:gridSpan w:val="7"/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FD4" w:rsidRDefault="006B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A16FD4" w:rsidTr="00ED1DC8">
        <w:trPr>
          <w:trHeight w:val="217"/>
        </w:trPr>
        <w:tc>
          <w:tcPr>
            <w:tcW w:w="2546" w:type="dxa"/>
            <w:gridSpan w:val="2"/>
            <w:vMerge w:val="restart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FD4" w:rsidRDefault="00A1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41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FD4" w:rsidRDefault="00A1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552" w:type="dxa"/>
            <w:gridSpan w:val="3"/>
          </w:tcPr>
          <w:p w:rsidR="00A16FD4" w:rsidRDefault="00A1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266" w:type="dxa"/>
            <w:gridSpan w:val="2"/>
          </w:tcPr>
          <w:p w:rsidR="00A16FD4" w:rsidRDefault="00A1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A16FD4" w:rsidTr="00ED1DC8">
        <w:trPr>
          <w:trHeight w:val="216"/>
        </w:trPr>
        <w:tc>
          <w:tcPr>
            <w:tcW w:w="2546" w:type="dxa"/>
            <w:gridSpan w:val="2"/>
            <w:vMerge/>
            <w:vAlign w:val="center"/>
          </w:tcPr>
          <w:p w:rsidR="00A16FD4" w:rsidRDefault="00A1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FD4" w:rsidRDefault="003F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552" w:type="dxa"/>
            <w:gridSpan w:val="3"/>
          </w:tcPr>
          <w:p w:rsidR="00A16FD4" w:rsidRDefault="003F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2266" w:type="dxa"/>
            <w:gridSpan w:val="2"/>
          </w:tcPr>
          <w:p w:rsidR="00A16FD4" w:rsidRDefault="003F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</w:tr>
      <w:tr w:rsidR="00A16FD4" w:rsidRPr="005B09DF" w:rsidTr="006E2F0C">
        <w:tc>
          <w:tcPr>
            <w:tcW w:w="2546" w:type="dxa"/>
            <w:gridSpan w:val="2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FD4" w:rsidRDefault="00A1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0BD7" w:rsidRDefault="002213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With the advent and development of Open Innovation corporate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venture  funds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other instruments represent most important parts of the innovation technology ecosystem. The course is aiming to familiarize students with the modern concepts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of  corporate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investment and management of innovation, corporate venture fund mechanisms and practices. </w:t>
            </w:r>
            <w:r w:rsidR="00490BD7">
              <w:rPr>
                <w:rFonts w:ascii="Times New Roman" w:hAnsi="Times New Roman"/>
                <w:sz w:val="24"/>
                <w:szCs w:val="24"/>
                <w:lang w:val="en-US"/>
              </w:rPr>
              <w:t>The course will involve a certain number of guest lectures by prominent and relevant experts,</w:t>
            </w:r>
            <w:r w:rsidR="00917D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90B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 </w:t>
            </w:r>
            <w:proofErr w:type="gramStart"/>
            <w:r w:rsidR="00490BD7">
              <w:rPr>
                <w:rFonts w:ascii="Times New Roman" w:hAnsi="Times New Roman"/>
                <w:sz w:val="24"/>
                <w:szCs w:val="24"/>
                <w:lang w:val="en-US"/>
              </w:rPr>
              <w:t>well  as</w:t>
            </w:r>
            <w:proofErr w:type="gramEnd"/>
            <w:r w:rsidR="00490B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expert panels for project assessment with experts from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corporate venture</w:t>
            </w:r>
            <w:r w:rsidR="00490B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community. </w:t>
            </w:r>
          </w:p>
          <w:p w:rsidR="00A16FD4" w:rsidRDefault="00BD14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practical part of the course work comprises group projects </w:t>
            </w:r>
            <w:proofErr w:type="gramStart"/>
            <w:r w:rsidR="00221316">
              <w:rPr>
                <w:rFonts w:ascii="Times New Roman" w:hAnsi="Times New Roman"/>
                <w:sz w:val="24"/>
                <w:szCs w:val="24"/>
                <w:lang w:val="en-US"/>
              </w:rPr>
              <w:t>done  in</w:t>
            </w:r>
            <w:proofErr w:type="gramEnd"/>
            <w:r w:rsidR="002213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collaboration with existing venture accelerators and funds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</w:p>
        </w:tc>
      </w:tr>
      <w:tr w:rsidR="00A16FD4" w:rsidRPr="005B09DF" w:rsidTr="006E2F0C">
        <w:tc>
          <w:tcPr>
            <w:tcW w:w="2546" w:type="dxa"/>
            <w:gridSpan w:val="2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FD4" w:rsidRDefault="00A1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Intended Learning Outcomes (ILO)</w:t>
            </w:r>
          </w:p>
        </w:tc>
        <w:tc>
          <w:tcPr>
            <w:tcW w:w="723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1435" w:rsidRDefault="00BD1435" w:rsidP="00BD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435">
              <w:rPr>
                <w:rFonts w:ascii="Times New Roman" w:hAnsi="Times New Roman"/>
                <w:sz w:val="24"/>
                <w:szCs w:val="24"/>
                <w:lang w:val="en-US"/>
              </w:rPr>
              <w:t>After the course completion, the student is expected to</w:t>
            </w:r>
          </w:p>
          <w:p w:rsidR="00BD1435" w:rsidRDefault="00BD1435" w:rsidP="00BD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435">
              <w:rPr>
                <w:rFonts w:ascii="Times New Roman" w:hAnsi="Times New Roman"/>
                <w:sz w:val="24"/>
                <w:szCs w:val="24"/>
                <w:lang w:val="en-US"/>
              </w:rPr>
              <w:t>Know</w:t>
            </w:r>
            <w:r w:rsidR="001A5B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basics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221316" w:rsidRDefault="00221316" w:rsidP="001A5B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 innovation and industry innovation management</w:t>
            </w:r>
          </w:p>
          <w:p w:rsidR="00221316" w:rsidRDefault="00221316" w:rsidP="001A5B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Principles and mechanisms of venture investments</w:t>
            </w:r>
          </w:p>
          <w:p w:rsidR="00221316" w:rsidRDefault="005B2AC5" w:rsidP="001A5B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Corporate and multicorporate venture funds: examples and practices</w:t>
            </w:r>
          </w:p>
          <w:p w:rsidR="001A5B44" w:rsidRPr="003A1822" w:rsidRDefault="005B2AC5" w:rsidP="00BD143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Corporate instruments for working with innovative technologies </w:t>
            </w:r>
          </w:p>
          <w:p w:rsidR="00BD1435" w:rsidRPr="00994FDA" w:rsidRDefault="00BD1435" w:rsidP="00BD1435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  <w:lang w:val="en-US" w:eastAsia="zh-CN"/>
              </w:rPr>
            </w:pPr>
            <w:r w:rsidRPr="00BD1435">
              <w:rPr>
                <w:rFonts w:ascii="Times New Roman" w:hAnsi="Times New Roman"/>
                <w:sz w:val="24"/>
                <w:szCs w:val="24"/>
                <w:lang w:val="en-US"/>
              </w:rPr>
              <w:t>Be able t</w:t>
            </w:r>
            <w:r w:rsidR="005E2834" w:rsidRPr="00994FDA">
              <w:rPr>
                <w:rFonts w:ascii="Times New Roman" w:eastAsia="DengXian" w:hAnsi="Times New Roman"/>
                <w:sz w:val="24"/>
                <w:szCs w:val="24"/>
                <w:lang w:val="en-US" w:eastAsia="zh-CN"/>
              </w:rPr>
              <w:t>o:</w:t>
            </w:r>
          </w:p>
          <w:p w:rsidR="001A5B44" w:rsidRDefault="003A1822" w:rsidP="001A5B4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Search and analyze projects for corporate venturing</w:t>
            </w:r>
          </w:p>
          <w:p w:rsidR="003A1822" w:rsidRPr="005E2834" w:rsidRDefault="005E2834" w:rsidP="005E283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investment opportunities to potential corporate investors</w:t>
            </w:r>
          </w:p>
          <w:p w:rsidR="00793703" w:rsidRDefault="00BD1435" w:rsidP="00793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435">
              <w:rPr>
                <w:rFonts w:ascii="Times New Roman" w:hAnsi="Times New Roman"/>
                <w:sz w:val="24"/>
                <w:szCs w:val="24"/>
                <w:lang w:val="en-US"/>
              </w:rPr>
              <w:t>Have experience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</w:t>
            </w:r>
            <w:r w:rsidR="007937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5E2834" w:rsidRDefault="005E2834" w:rsidP="0079370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Analyzing portfolio of corporate venture funds</w:t>
            </w:r>
          </w:p>
          <w:p w:rsidR="00A16FD4" w:rsidRDefault="005E2834" w:rsidP="0079370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Working with corporate requests for innovations</w:t>
            </w:r>
            <w:r w:rsidR="007937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6FD4" w:rsidRPr="00253D20" w:rsidTr="006E2F0C">
        <w:tc>
          <w:tcPr>
            <w:tcW w:w="2546" w:type="dxa"/>
            <w:gridSpan w:val="2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FD4" w:rsidRDefault="00A1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FD4" w:rsidRDefault="0025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3D20">
              <w:rPr>
                <w:rFonts w:ascii="Times New Roman" w:hAnsi="Times New Roman"/>
                <w:sz w:val="24"/>
                <w:szCs w:val="24"/>
                <w:lang w:val="en-US"/>
              </w:rPr>
              <w:t>Teaching and learning methods include</w:t>
            </w:r>
            <w:r w:rsidR="000E43AE" w:rsidRPr="000E43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3D20">
              <w:rPr>
                <w:rFonts w:ascii="Times New Roman" w:hAnsi="Times New Roman"/>
                <w:sz w:val="24"/>
                <w:szCs w:val="24"/>
                <w:lang w:val="en-US"/>
              </w:rPr>
              <w:t>lecture</w:t>
            </w:r>
            <w:r w:rsidR="0079370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3D20">
              <w:rPr>
                <w:rFonts w:ascii="Times New Roman" w:hAnsi="Times New Roman"/>
                <w:sz w:val="24"/>
                <w:szCs w:val="24"/>
                <w:lang w:val="en-US"/>
              </w:rPr>
              <w:t>, seminars, group work, practical home assignme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nts, progress tests, case studies.</w:t>
            </w:r>
          </w:p>
        </w:tc>
      </w:tr>
      <w:tr w:rsidR="00A16FD4" w:rsidRPr="00E30985" w:rsidTr="00BE33CE">
        <w:tc>
          <w:tcPr>
            <w:tcW w:w="9780" w:type="dxa"/>
            <w:gridSpan w:val="9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FD4" w:rsidRDefault="00A1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Content and Structure of the Course</w:t>
            </w:r>
          </w:p>
        </w:tc>
      </w:tr>
      <w:tr w:rsidR="00A16FD4" w:rsidRPr="006E2F0C" w:rsidTr="00C47752">
        <w:trPr>
          <w:trHeight w:val="45"/>
        </w:trPr>
        <w:tc>
          <w:tcPr>
            <w:tcW w:w="425" w:type="dxa"/>
            <w:vMerge w:val="restart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FD4" w:rsidRPr="00C47752" w:rsidRDefault="00A16F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5" w:type="dxa"/>
            <w:gridSpan w:val="2"/>
            <w:vMerge w:val="restart"/>
            <w:shd w:val="clear" w:color="auto" w:fill="DAEEF3"/>
          </w:tcPr>
          <w:p w:rsidR="00A16FD4" w:rsidRPr="00C47752" w:rsidRDefault="00A16FD4" w:rsidP="003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hAnsi="Times New Roman"/>
                <w:b/>
                <w:lang w:val="en-US"/>
              </w:rPr>
              <w:t>Topic / Course Chapter</w:t>
            </w:r>
          </w:p>
        </w:tc>
        <w:tc>
          <w:tcPr>
            <w:tcW w:w="1704" w:type="dxa"/>
            <w:gridSpan w:val="2"/>
            <w:vMerge w:val="restart"/>
            <w:shd w:val="clear" w:color="auto" w:fill="DAEEF3"/>
          </w:tcPr>
          <w:p w:rsidR="00A16FD4" w:rsidRPr="00C47752" w:rsidRDefault="00A16FD4" w:rsidP="003D390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47752">
              <w:rPr>
                <w:rFonts w:ascii="Times New Roman" w:hAnsi="Times New Roman"/>
                <w:b/>
                <w:lang w:val="en-US"/>
              </w:rPr>
              <w:t>Total</w:t>
            </w:r>
          </w:p>
          <w:p w:rsidR="00A16FD4" w:rsidRPr="00C47752" w:rsidRDefault="00A16FD4" w:rsidP="003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DAEEF3"/>
          </w:tcPr>
          <w:p w:rsidR="00A16FD4" w:rsidRPr="00C47752" w:rsidRDefault="00A16FD4" w:rsidP="003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hAnsi="Times New Roman"/>
                <w:b/>
                <w:lang w:val="en-US"/>
              </w:rPr>
              <w:t>Directed Study</w:t>
            </w:r>
          </w:p>
        </w:tc>
        <w:tc>
          <w:tcPr>
            <w:tcW w:w="1558" w:type="dxa"/>
            <w:vMerge w:val="restart"/>
            <w:shd w:val="clear" w:color="auto" w:fill="DAEEF3"/>
          </w:tcPr>
          <w:p w:rsidR="00A16FD4" w:rsidRPr="00C47752" w:rsidRDefault="00A16FD4" w:rsidP="003D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hAnsi="Times New Roman"/>
                <w:b/>
                <w:lang w:val="en-US"/>
              </w:rPr>
              <w:t>Self-directed Study</w:t>
            </w:r>
          </w:p>
        </w:tc>
      </w:tr>
      <w:tr w:rsidR="00A16FD4" w:rsidRPr="006E2F0C" w:rsidTr="00C47752">
        <w:trPr>
          <w:trHeight w:val="45"/>
        </w:trPr>
        <w:tc>
          <w:tcPr>
            <w:tcW w:w="4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FD4" w:rsidRDefault="00A1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5" w:type="dxa"/>
            <w:gridSpan w:val="2"/>
            <w:vMerge/>
          </w:tcPr>
          <w:p w:rsidR="00A16FD4" w:rsidRDefault="00A1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gridSpan w:val="2"/>
            <w:vMerge/>
          </w:tcPr>
          <w:p w:rsidR="00A16FD4" w:rsidRDefault="00A1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AEEF3"/>
          </w:tcPr>
          <w:p w:rsidR="00A16FD4" w:rsidRPr="00C47752" w:rsidRDefault="00A16F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hAnsi="Times New Roman"/>
                <w:b/>
                <w:lang w:val="en-US"/>
              </w:rPr>
              <w:t>Lectures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A16FD4" w:rsidRPr="00C47752" w:rsidRDefault="00A16F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hAnsi="Times New Roman"/>
                <w:b/>
                <w:lang w:val="en-US"/>
              </w:rPr>
              <w:t>Tutorials</w:t>
            </w:r>
          </w:p>
        </w:tc>
        <w:tc>
          <w:tcPr>
            <w:tcW w:w="1558" w:type="dxa"/>
            <w:vMerge/>
          </w:tcPr>
          <w:p w:rsidR="00A16FD4" w:rsidRDefault="00A1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1822" w:rsidRPr="006E2F0C" w:rsidTr="00A34320">
        <w:trPr>
          <w:trHeight w:val="45"/>
        </w:trPr>
        <w:tc>
          <w:tcPr>
            <w:tcW w:w="4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1822" w:rsidRDefault="003A1822" w:rsidP="003A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5" w:type="dxa"/>
            <w:gridSpan w:val="2"/>
          </w:tcPr>
          <w:p w:rsidR="005E2834" w:rsidRPr="005E2834" w:rsidRDefault="005E2834" w:rsidP="005E2834">
            <w:pPr>
              <w:pStyle w:val="a0"/>
              <w:spacing w:after="0" w:line="240" w:lineRule="auto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Open innovation. </w:t>
            </w:r>
            <w:r w:rsidR="003A1822" w:rsidRPr="005E283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Concept. Successful cases.  Mechanism and stages in Open Innovation. Myths and barriers.  </w:t>
            </w:r>
            <w:r w:rsidR="00FD05AC">
              <w:rPr>
                <w:sz w:val="24"/>
                <w:lang w:val="en-US"/>
              </w:rPr>
              <w:t xml:space="preserve">Open Innovations in   Russia.  </w:t>
            </w:r>
          </w:p>
        </w:tc>
        <w:tc>
          <w:tcPr>
            <w:tcW w:w="1704" w:type="dxa"/>
            <w:gridSpan w:val="2"/>
            <w:vAlign w:val="center"/>
          </w:tcPr>
          <w:p w:rsidR="003A1822" w:rsidRPr="000E43AE" w:rsidRDefault="00FD05AC" w:rsidP="003A18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3A1822" w:rsidRPr="000E43AE" w:rsidRDefault="003A1822" w:rsidP="003A1822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3A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A1822" w:rsidRPr="000E43AE" w:rsidRDefault="00FD05AC" w:rsidP="003A1822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vAlign w:val="center"/>
          </w:tcPr>
          <w:p w:rsidR="003A1822" w:rsidRPr="000E43AE" w:rsidRDefault="00917D19" w:rsidP="003A1822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3A1822" w:rsidRPr="009A6D3A" w:rsidTr="00A34320">
        <w:trPr>
          <w:trHeight w:val="45"/>
        </w:trPr>
        <w:tc>
          <w:tcPr>
            <w:tcW w:w="4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1822" w:rsidRDefault="003A1822" w:rsidP="003A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825" w:type="dxa"/>
            <w:gridSpan w:val="2"/>
          </w:tcPr>
          <w:p w:rsidR="003A1822" w:rsidRPr="00FD05AC" w:rsidRDefault="005E2834" w:rsidP="00FD05AC">
            <w:pPr>
              <w:pStyle w:val="a0"/>
              <w:spacing w:after="0" w:line="240" w:lineRule="auto"/>
              <w:ind w:left="0"/>
              <w:rPr>
                <w:sz w:val="24"/>
                <w:lang w:val="en-US"/>
              </w:rPr>
            </w:pPr>
            <w:proofErr w:type="gramStart"/>
            <w:r>
              <w:rPr>
                <w:b/>
                <w:sz w:val="24"/>
                <w:lang w:val="en-US"/>
              </w:rPr>
              <w:t>Introduction  to</w:t>
            </w:r>
            <w:proofErr w:type="gramEnd"/>
            <w:r>
              <w:rPr>
                <w:b/>
                <w:sz w:val="24"/>
                <w:lang w:val="en-US"/>
              </w:rPr>
              <w:t xml:space="preserve"> Venture Investments. </w:t>
            </w:r>
            <w:r w:rsidRPr="005E2834">
              <w:rPr>
                <w:sz w:val="24"/>
                <w:lang w:val="en-US"/>
              </w:rPr>
              <w:t xml:space="preserve"> What is venture</w:t>
            </w:r>
            <w:r>
              <w:rPr>
                <w:sz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lang w:val="en-US"/>
              </w:rPr>
              <w:t>investment.</w:t>
            </w:r>
            <w:proofErr w:type="gramEnd"/>
            <w:r>
              <w:rPr>
                <w:sz w:val="24"/>
                <w:lang w:val="en-US"/>
              </w:rPr>
              <w:t xml:space="preserve"> Startup life cycle and venture. Stages and goals. </w:t>
            </w:r>
            <w:r w:rsidR="00FD05AC">
              <w:rPr>
                <w:sz w:val="24"/>
                <w:lang w:val="en-US"/>
              </w:rPr>
              <w:t xml:space="preserve">Numbers – promises and reality. Russian venture capital.  Organization of a typical venture fund. </w:t>
            </w:r>
            <w:proofErr w:type="spellStart"/>
            <w:r w:rsidR="00FD05AC">
              <w:rPr>
                <w:sz w:val="24"/>
                <w:lang w:val="en-US"/>
              </w:rPr>
              <w:t>Generalpartners</w:t>
            </w:r>
            <w:proofErr w:type="spellEnd"/>
            <w:r w:rsidR="00FD05AC">
              <w:rPr>
                <w:sz w:val="24"/>
                <w:lang w:val="en-US"/>
              </w:rPr>
              <w:t xml:space="preserve"> and limited partners. Types of funds. Project selection.  Types of venture deals. Investment process. Portfolio management.</w:t>
            </w:r>
          </w:p>
        </w:tc>
        <w:tc>
          <w:tcPr>
            <w:tcW w:w="1704" w:type="dxa"/>
            <w:gridSpan w:val="2"/>
            <w:vAlign w:val="center"/>
          </w:tcPr>
          <w:p w:rsidR="003A1822" w:rsidRPr="000E43AE" w:rsidRDefault="00FD05AC" w:rsidP="003A1822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3A1822" w:rsidRPr="000E43AE" w:rsidRDefault="003A1822" w:rsidP="003A1822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3A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A1822" w:rsidRPr="000E43AE" w:rsidRDefault="00FD05AC" w:rsidP="003A1822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vAlign w:val="center"/>
          </w:tcPr>
          <w:p w:rsidR="003A1822" w:rsidRPr="000E43AE" w:rsidRDefault="00917D19" w:rsidP="003A1822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3A1822" w:rsidRPr="009A6D3A" w:rsidTr="00A34320">
        <w:trPr>
          <w:trHeight w:val="45"/>
        </w:trPr>
        <w:tc>
          <w:tcPr>
            <w:tcW w:w="4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1822" w:rsidRDefault="003A1822" w:rsidP="003A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5" w:type="dxa"/>
            <w:gridSpan w:val="2"/>
          </w:tcPr>
          <w:p w:rsidR="003A1822" w:rsidRPr="00FD05AC" w:rsidRDefault="00FD05AC" w:rsidP="00FD05AC">
            <w:pPr>
              <w:pStyle w:val="a0"/>
              <w:spacing w:after="0" w:line="240" w:lineRule="auto"/>
              <w:ind w:left="0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Corporate</w:t>
            </w:r>
            <w:r w:rsidRPr="00FD05AC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venture</w:t>
            </w:r>
            <w:r w:rsidRPr="00FD05AC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funds. </w:t>
            </w:r>
            <w:r w:rsidRPr="00FD05AC">
              <w:rPr>
                <w:sz w:val="24"/>
                <w:lang w:val="en-US"/>
              </w:rPr>
              <w:t>Purposes.</w:t>
            </w:r>
            <w:r>
              <w:rPr>
                <w:sz w:val="24"/>
                <w:lang w:val="en-US"/>
              </w:rPr>
              <w:t xml:space="preserve"> World</w:t>
            </w:r>
            <w:r w:rsidRPr="00FD05A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trends. Why corporations launch venture funds? R&amp;D transformation and corporate venture. Examples – </w:t>
            </w:r>
            <w:r w:rsidR="003A1822" w:rsidRPr="00D80F92">
              <w:rPr>
                <w:sz w:val="24"/>
                <w:lang w:val="en-US"/>
              </w:rPr>
              <w:t>Coca</w:t>
            </w:r>
            <w:r w:rsidR="003A1822" w:rsidRPr="00FD05AC">
              <w:rPr>
                <w:sz w:val="24"/>
                <w:lang w:val="en-US"/>
              </w:rPr>
              <w:t xml:space="preserve"> </w:t>
            </w:r>
            <w:r w:rsidR="003A1822" w:rsidRPr="00D80F92">
              <w:rPr>
                <w:sz w:val="24"/>
                <w:lang w:val="en-US"/>
              </w:rPr>
              <w:t>Cola</w:t>
            </w:r>
            <w:r w:rsidR="003A1822" w:rsidRPr="00FD05AC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Vo</w:t>
            </w:r>
            <w:r w:rsidRPr="00FD05AC">
              <w:rPr>
                <w:sz w:val="24"/>
                <w:lang w:val="en-US"/>
              </w:rPr>
              <w:t>lvo, etc</w:t>
            </w:r>
            <w:r w:rsidR="003A1822" w:rsidRPr="00FD05AC">
              <w:rPr>
                <w:sz w:val="24"/>
                <w:lang w:val="en-US"/>
              </w:rPr>
              <w:t>.</w:t>
            </w:r>
            <w:r w:rsidRPr="00FD05AC">
              <w:rPr>
                <w:sz w:val="24"/>
                <w:lang w:val="en-US"/>
              </w:rPr>
              <w:t xml:space="preserve"> Success factors.</w:t>
            </w:r>
            <w:r w:rsidR="003A1822" w:rsidRPr="00FD05AC">
              <w:rPr>
                <w:sz w:val="24"/>
                <w:lang w:val="en-US"/>
              </w:rPr>
              <w:t xml:space="preserve"> </w:t>
            </w:r>
            <w:proofErr w:type="spellStart"/>
            <w:r w:rsidRPr="00FD05AC">
              <w:rPr>
                <w:sz w:val="24"/>
                <w:lang w:val="en-US"/>
              </w:rPr>
              <w:t>Scenaria</w:t>
            </w:r>
            <w:proofErr w:type="spellEnd"/>
            <w:r w:rsidRPr="00FD05AC">
              <w:rPr>
                <w:sz w:val="24"/>
                <w:lang w:val="en-US"/>
              </w:rPr>
              <w:t xml:space="preserve"> of </w:t>
            </w:r>
            <w:proofErr w:type="gramStart"/>
            <w:r>
              <w:rPr>
                <w:sz w:val="24"/>
                <w:lang w:val="en-US"/>
              </w:rPr>
              <w:t>corporate  venture</w:t>
            </w:r>
            <w:proofErr w:type="gramEnd"/>
            <w:r>
              <w:rPr>
                <w:sz w:val="24"/>
                <w:lang w:val="en-US"/>
              </w:rPr>
              <w:t xml:space="preserve"> investments. </w:t>
            </w:r>
          </w:p>
        </w:tc>
        <w:tc>
          <w:tcPr>
            <w:tcW w:w="1704" w:type="dxa"/>
            <w:gridSpan w:val="2"/>
            <w:vAlign w:val="center"/>
          </w:tcPr>
          <w:p w:rsidR="003A1822" w:rsidRPr="000E43AE" w:rsidRDefault="00FD05AC" w:rsidP="003A1822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3A1822" w:rsidRPr="000E43AE" w:rsidRDefault="003A1822" w:rsidP="003A1822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3A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A1822" w:rsidRPr="000E43AE" w:rsidRDefault="00FD05AC" w:rsidP="003A1822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vAlign w:val="center"/>
          </w:tcPr>
          <w:p w:rsidR="003A1822" w:rsidRPr="000E43AE" w:rsidRDefault="00917D19" w:rsidP="003A1822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3A1822" w:rsidRPr="009A6D3A" w:rsidTr="00A34320">
        <w:trPr>
          <w:trHeight w:val="45"/>
        </w:trPr>
        <w:tc>
          <w:tcPr>
            <w:tcW w:w="4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1822" w:rsidRDefault="003A1822" w:rsidP="003A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5" w:type="dxa"/>
            <w:gridSpan w:val="2"/>
          </w:tcPr>
          <w:p w:rsidR="003A1822" w:rsidRPr="00FD05AC" w:rsidRDefault="00FD05AC" w:rsidP="00FD05AC">
            <w:pPr>
              <w:pStyle w:val="a0"/>
              <w:spacing w:after="0" w:line="240" w:lineRule="auto"/>
              <w:ind w:left="0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Instruments of portfolio management. </w:t>
            </w:r>
            <w:r w:rsidRPr="00FD05AC">
              <w:rPr>
                <w:sz w:val="24"/>
                <w:lang w:val="en-US"/>
              </w:rPr>
              <w:t>Corporate</w:t>
            </w:r>
            <w:r>
              <w:rPr>
                <w:sz w:val="24"/>
                <w:lang w:val="en-US"/>
              </w:rPr>
              <w:t xml:space="preserve"> acceleration programs. Corporate business incubators and </w:t>
            </w:r>
            <w:proofErr w:type="spellStart"/>
            <w:r>
              <w:rPr>
                <w:sz w:val="24"/>
                <w:lang w:val="en-US"/>
              </w:rPr>
              <w:t>technoparks</w:t>
            </w:r>
            <w:proofErr w:type="spellEnd"/>
            <w:r>
              <w:rPr>
                <w:sz w:val="24"/>
                <w:lang w:val="en-US"/>
              </w:rPr>
              <w:t xml:space="preserve">. Corporate innovation centers. </w:t>
            </w:r>
          </w:p>
        </w:tc>
        <w:tc>
          <w:tcPr>
            <w:tcW w:w="1704" w:type="dxa"/>
            <w:gridSpan w:val="2"/>
            <w:vAlign w:val="center"/>
          </w:tcPr>
          <w:p w:rsidR="003A1822" w:rsidRPr="000E43AE" w:rsidRDefault="00FD05AC" w:rsidP="003A1822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3A1822" w:rsidRPr="000E43AE" w:rsidRDefault="003A1822" w:rsidP="003A1822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3A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A1822" w:rsidRPr="000E43AE" w:rsidRDefault="00FD05AC" w:rsidP="003A1822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vAlign w:val="center"/>
          </w:tcPr>
          <w:p w:rsidR="003A1822" w:rsidRPr="000E43AE" w:rsidRDefault="00917D19" w:rsidP="003A1822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FD05AC" w:rsidRPr="009A6D3A" w:rsidTr="00A34320">
        <w:trPr>
          <w:trHeight w:val="45"/>
        </w:trPr>
        <w:tc>
          <w:tcPr>
            <w:tcW w:w="4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5AC" w:rsidRDefault="00FD05AC" w:rsidP="003A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5" w:type="dxa"/>
            <w:gridSpan w:val="2"/>
          </w:tcPr>
          <w:p w:rsidR="00FD05AC" w:rsidRDefault="00FD05AC" w:rsidP="00FD05AC">
            <w:pPr>
              <w:pStyle w:val="a0"/>
              <w:spacing w:after="0" w:line="240" w:lineRule="auto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Practicum:  Real life case:  Processing </w:t>
            </w:r>
            <w:proofErr w:type="gramStart"/>
            <w:r>
              <w:rPr>
                <w:b/>
                <w:sz w:val="24"/>
                <w:lang w:val="en-US"/>
              </w:rPr>
              <w:t>Corporate  Open</w:t>
            </w:r>
            <w:proofErr w:type="gramEnd"/>
            <w:r>
              <w:rPr>
                <w:b/>
                <w:sz w:val="24"/>
                <w:lang w:val="en-US"/>
              </w:rPr>
              <w:t xml:space="preserve"> Innovation requests, technology scouting and project selection.</w:t>
            </w:r>
          </w:p>
        </w:tc>
        <w:tc>
          <w:tcPr>
            <w:tcW w:w="1704" w:type="dxa"/>
            <w:gridSpan w:val="2"/>
            <w:vAlign w:val="center"/>
          </w:tcPr>
          <w:p w:rsidR="00FD05AC" w:rsidRPr="000E43AE" w:rsidRDefault="00FD05AC" w:rsidP="003A1822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:rsidR="00FD05AC" w:rsidRPr="000E43AE" w:rsidRDefault="00FD05AC" w:rsidP="003A1822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D05AC" w:rsidRPr="000E43AE" w:rsidRDefault="00FD05AC" w:rsidP="003A1822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8" w:type="dxa"/>
            <w:vAlign w:val="center"/>
          </w:tcPr>
          <w:p w:rsidR="00FD05AC" w:rsidRPr="000E43AE" w:rsidRDefault="00917D19" w:rsidP="003A1822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0E43AE" w:rsidRPr="006E2F0C" w:rsidTr="00A34320">
        <w:trPr>
          <w:trHeight w:val="45"/>
        </w:trPr>
        <w:tc>
          <w:tcPr>
            <w:tcW w:w="4250" w:type="dxa"/>
            <w:gridSpan w:val="3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43AE" w:rsidRPr="00C47752" w:rsidRDefault="000E43AE" w:rsidP="000E43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Total study</w:t>
            </w:r>
            <w:r w:rsidRPr="00C47752">
              <w:rPr>
                <w:rFonts w:ascii="Times New Roman" w:hAnsi="Times New Roman"/>
                <w:b/>
                <w:lang w:val="en-US"/>
              </w:rPr>
              <w:t xml:space="preserve"> hours</w:t>
            </w:r>
          </w:p>
        </w:tc>
        <w:tc>
          <w:tcPr>
            <w:tcW w:w="1704" w:type="dxa"/>
            <w:gridSpan w:val="2"/>
            <w:shd w:val="clear" w:color="auto" w:fill="DAEEF3"/>
            <w:vAlign w:val="bottom"/>
          </w:tcPr>
          <w:p w:rsidR="000E43AE" w:rsidRPr="000E43AE" w:rsidRDefault="00FD05AC" w:rsidP="000E43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0E43AE" w:rsidRPr="000E43AE" w:rsidRDefault="00917D19" w:rsidP="000E43AE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gridSpan w:val="2"/>
            <w:shd w:val="clear" w:color="auto" w:fill="DAEEF3"/>
            <w:vAlign w:val="bottom"/>
          </w:tcPr>
          <w:p w:rsidR="000E43AE" w:rsidRPr="000E43AE" w:rsidRDefault="00917D19" w:rsidP="000E43AE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8" w:type="dxa"/>
            <w:shd w:val="clear" w:color="auto" w:fill="DAEEF3"/>
            <w:vAlign w:val="bottom"/>
          </w:tcPr>
          <w:p w:rsidR="000E43AE" w:rsidRPr="000E43AE" w:rsidRDefault="00917D19" w:rsidP="000E43AE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</w:tr>
      <w:tr w:rsidR="00F66886" w:rsidRPr="00E30985" w:rsidTr="00ED1DC8">
        <w:trPr>
          <w:trHeight w:val="552"/>
        </w:trPr>
        <w:tc>
          <w:tcPr>
            <w:tcW w:w="2546" w:type="dxa"/>
            <w:gridSpan w:val="2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Indicative Assessment Methods and Strategy </w:t>
            </w:r>
          </w:p>
        </w:tc>
        <w:tc>
          <w:tcPr>
            <w:tcW w:w="723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86" w:rsidRPr="00825CE1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CE1">
              <w:rPr>
                <w:rFonts w:ascii="Times New Roman" w:hAnsi="Times New Roman"/>
                <w:sz w:val="24"/>
                <w:szCs w:val="24"/>
                <w:lang w:val="en-US"/>
              </w:rPr>
              <w:t>The course assessment consists of four parts:</w:t>
            </w:r>
          </w:p>
          <w:p w:rsidR="00F66886" w:rsidRPr="00825CE1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CE1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825CE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Class work. Students’ individual and group work at the seminars in the form of </w:t>
            </w:r>
            <w:r w:rsidR="000E43AE">
              <w:rPr>
                <w:rFonts w:ascii="Times New Roman" w:hAnsi="Times New Roman"/>
                <w:sz w:val="24"/>
                <w:szCs w:val="24"/>
                <w:lang w:val="en-US"/>
              </w:rPr>
              <w:t>communications</w:t>
            </w:r>
            <w:r w:rsidRPr="00825CE1">
              <w:rPr>
                <w:rFonts w:ascii="Times New Roman" w:hAnsi="Times New Roman"/>
                <w:sz w:val="24"/>
                <w:szCs w:val="24"/>
                <w:lang w:val="en-US"/>
              </w:rPr>
              <w:t>, problems solving etc.</w:t>
            </w:r>
          </w:p>
          <w:p w:rsidR="000E43AE" w:rsidRPr="00825CE1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CE1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825CE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0E43AE">
              <w:rPr>
                <w:rFonts w:ascii="Times New Roman" w:hAnsi="Times New Roman"/>
                <w:sz w:val="24"/>
                <w:szCs w:val="24"/>
                <w:lang w:val="en-US"/>
              </w:rPr>
              <w:t>Group course project</w:t>
            </w:r>
            <w:r w:rsidRPr="00825CE1">
              <w:rPr>
                <w:rFonts w:ascii="Times New Roman" w:hAnsi="Times New Roman"/>
                <w:sz w:val="24"/>
                <w:szCs w:val="24"/>
                <w:lang w:val="en-US"/>
              </w:rPr>
              <w:t>. A project presented in 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 written form (presentation) </w:t>
            </w:r>
            <w:r w:rsidRPr="00825CE1">
              <w:rPr>
                <w:rFonts w:ascii="Times New Roman" w:hAnsi="Times New Roman"/>
                <w:sz w:val="24"/>
                <w:szCs w:val="24"/>
                <w:lang w:val="en-US"/>
              </w:rPr>
              <w:t>and verbally at the class.</w:t>
            </w:r>
          </w:p>
          <w:p w:rsidR="000E43AE" w:rsidRDefault="000E43AE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886" w:rsidRPr="00825CE1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C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amount of points that student can obtain for each part is 10 points. </w:t>
            </w:r>
          </w:p>
          <w:p w:rsidR="00F66886" w:rsidRPr="00825CE1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CE1">
              <w:rPr>
                <w:rFonts w:ascii="Times New Roman" w:hAnsi="Times New Roman"/>
                <w:sz w:val="24"/>
                <w:szCs w:val="24"/>
                <w:lang w:val="en-US"/>
              </w:rPr>
              <w:t>The Final Grade is calculated using the formula:</w:t>
            </w:r>
          </w:p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CE1">
              <w:rPr>
                <w:rFonts w:ascii="Times New Roman" w:hAnsi="Times New Roman"/>
                <w:sz w:val="24"/>
                <w:szCs w:val="24"/>
                <w:lang w:val="en-US"/>
              </w:rPr>
              <w:t>Final Grade = 0,</w:t>
            </w:r>
            <w:r w:rsidR="000E43A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CE1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="000E43AE">
              <w:rPr>
                <w:rFonts w:ascii="Times New Roman" w:hAnsi="Times New Roman"/>
                <w:sz w:val="24"/>
                <w:szCs w:val="24"/>
                <w:lang w:val="en-US"/>
              </w:rPr>
              <w:t>Class Work</w:t>
            </w:r>
            <w:r w:rsidRPr="00825C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Grade + 0,</w:t>
            </w:r>
            <w:r w:rsidR="000E43A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825CE1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="000E43AE">
              <w:rPr>
                <w:rFonts w:ascii="Times New Roman" w:hAnsi="Times New Roman"/>
                <w:sz w:val="24"/>
                <w:szCs w:val="24"/>
                <w:lang w:val="en-US"/>
              </w:rPr>
              <w:t>Group Course Project Grade</w:t>
            </w:r>
          </w:p>
        </w:tc>
      </w:tr>
      <w:tr w:rsidR="00F66886" w:rsidRPr="009A6D3A" w:rsidTr="00ED1DC8">
        <w:tc>
          <w:tcPr>
            <w:tcW w:w="2546" w:type="dxa"/>
            <w:gridSpan w:val="2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hAnsi="Times New Roman"/>
                <w:sz w:val="24"/>
                <w:szCs w:val="24"/>
                <w:lang w:val="en-US"/>
              </w:rPr>
              <w:t>Readings / Indicative Learning Resources</w:t>
            </w:r>
          </w:p>
        </w:tc>
        <w:tc>
          <w:tcPr>
            <w:tcW w:w="723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76E2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Mandatory</w:t>
            </w:r>
          </w:p>
          <w:p w:rsidR="00917D19" w:rsidRDefault="00917D19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Lecture notes</w:t>
            </w:r>
          </w:p>
          <w:p w:rsidR="00E2749A" w:rsidRDefault="00E2749A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886" w:rsidRDefault="00E2749A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E2749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  <w:t> </w:t>
            </w:r>
            <w:r w:rsidR="00F66886" w:rsidRPr="00076E2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Optional</w:t>
            </w:r>
          </w:p>
          <w:p w:rsidR="00155F97" w:rsidRDefault="00155F97" w:rsidP="0015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49A">
              <w:rPr>
                <w:rFonts w:ascii="Times New Roman" w:hAnsi="Times New Roman"/>
                <w:sz w:val="24"/>
                <w:szCs w:val="24"/>
                <w:lang w:val="en-US"/>
              </w:rPr>
              <w:t>Chesbrough, Henry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Open Innovations</w:t>
            </w:r>
          </w:p>
          <w:p w:rsidR="00155F97" w:rsidRDefault="00155F97" w:rsidP="0015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49A">
              <w:rPr>
                <w:rFonts w:ascii="Times New Roman" w:hAnsi="Times New Roman"/>
                <w:sz w:val="24"/>
                <w:szCs w:val="24"/>
                <w:lang w:val="en-US"/>
              </w:rPr>
              <w:t>Chesbrough, Henry. Making Sense of Corporate Venture Capital</w:t>
            </w:r>
          </w:p>
          <w:p w:rsidR="00F66886" w:rsidRPr="00E2749A" w:rsidRDefault="00E2749A" w:rsidP="000E43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Andrew </w:t>
            </w:r>
            <w:proofErr w:type="spellStart"/>
            <w:r w:rsidRPr="00E2749A">
              <w:rPr>
                <w:rFonts w:ascii="Times New Roman" w:hAnsi="Times New Roman"/>
                <w:sz w:val="24"/>
                <w:szCs w:val="24"/>
                <w:lang w:val="en-US"/>
              </w:rPr>
              <w:t>Metrick</w:t>
            </w:r>
            <w:proofErr w:type="spellEnd"/>
            <w:r w:rsidRPr="00E2749A">
              <w:rPr>
                <w:rFonts w:ascii="Times New Roman" w:hAnsi="Times New Roman"/>
                <w:sz w:val="24"/>
                <w:szCs w:val="24"/>
                <w:lang w:val="en-US"/>
              </w:rPr>
              <w:t>, Ayako Yasuda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27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Venture Capital and the Finance of </w:t>
            </w:r>
            <w:r w:rsidRPr="00E2749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Innovation</w:t>
            </w:r>
          </w:p>
        </w:tc>
      </w:tr>
      <w:tr w:rsidR="00F66886" w:rsidRPr="00076E2F" w:rsidTr="00B67A8D">
        <w:trPr>
          <w:trHeight w:val="33"/>
        </w:trPr>
        <w:tc>
          <w:tcPr>
            <w:tcW w:w="2546" w:type="dxa"/>
            <w:gridSpan w:val="2"/>
            <w:vMerge w:val="restart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Indicative Self- Study Strategies</w:t>
            </w:r>
          </w:p>
        </w:tc>
        <w:tc>
          <w:tcPr>
            <w:tcW w:w="4542" w:type="dxa"/>
            <w:gridSpan w:val="4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86" w:rsidRPr="00076E2F" w:rsidRDefault="00F66886" w:rsidP="00F66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Type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F66886" w:rsidRPr="00076E2F" w:rsidRDefault="00F66886" w:rsidP="00F66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+/–</w:t>
            </w:r>
          </w:p>
        </w:tc>
        <w:tc>
          <w:tcPr>
            <w:tcW w:w="1558" w:type="dxa"/>
            <w:shd w:val="clear" w:color="auto" w:fill="DAEEF3"/>
          </w:tcPr>
          <w:p w:rsidR="00F66886" w:rsidRPr="00076E2F" w:rsidRDefault="00F66886" w:rsidP="00F66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Hours</w:t>
            </w:r>
          </w:p>
        </w:tc>
      </w:tr>
      <w:tr w:rsidR="00F66886" w:rsidRPr="00E30985" w:rsidTr="00B67A8D">
        <w:trPr>
          <w:trHeight w:val="32"/>
        </w:trPr>
        <w:tc>
          <w:tcPr>
            <w:tcW w:w="2546" w:type="dxa"/>
            <w:gridSpan w:val="2"/>
            <w:vMerge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Reading for </w:t>
            </w:r>
            <w:r w:rsidRPr="0007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seminars / tutorials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(lecture materials, mandatory and optional resources)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8" w:type="dxa"/>
            <w:shd w:val="clear" w:color="auto" w:fill="DAEEF3"/>
          </w:tcPr>
          <w:p w:rsidR="00F66886" w:rsidRDefault="00490BD7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F66886" w:rsidRPr="00E30985" w:rsidTr="00B67A8D">
        <w:trPr>
          <w:trHeight w:val="32"/>
        </w:trPr>
        <w:tc>
          <w:tcPr>
            <w:tcW w:w="2546" w:type="dxa"/>
            <w:gridSpan w:val="2"/>
            <w:vMerge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Assignments for </w:t>
            </w:r>
            <w:r w:rsidRPr="00076E2F">
              <w:rPr>
                <w:rFonts w:ascii="Times New Roman" w:hAnsi="Times New Roman"/>
                <w:sz w:val="24"/>
                <w:szCs w:val="24"/>
                <w:lang w:val="en-US"/>
              </w:rPr>
              <w:t>seminars / tutorials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labs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8" w:type="dxa"/>
            <w:shd w:val="clear" w:color="auto" w:fill="DAEEF3"/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F66886" w:rsidRPr="00E30985" w:rsidTr="00B67A8D">
        <w:trPr>
          <w:trHeight w:val="32"/>
        </w:trPr>
        <w:tc>
          <w:tcPr>
            <w:tcW w:w="2546" w:type="dxa"/>
            <w:gridSpan w:val="2"/>
            <w:vMerge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E-learning / distance learning (MOOC / LMS)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F66886" w:rsidRDefault="00490BD7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shd w:val="clear" w:color="auto" w:fill="DAEEF3"/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F66886" w:rsidRPr="00076E2F" w:rsidTr="00B67A8D">
        <w:trPr>
          <w:trHeight w:val="32"/>
        </w:trPr>
        <w:tc>
          <w:tcPr>
            <w:tcW w:w="2546" w:type="dxa"/>
            <w:gridSpan w:val="2"/>
            <w:vMerge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Fieldwork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F66886" w:rsidRDefault="00490BD7" w:rsidP="00F6688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8" w:type="dxa"/>
            <w:shd w:val="clear" w:color="auto" w:fill="DAEEF3"/>
          </w:tcPr>
          <w:p w:rsidR="00F66886" w:rsidRDefault="00490BD7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F66886" w:rsidRPr="00076E2F" w:rsidTr="00B67A8D">
        <w:trPr>
          <w:trHeight w:val="32"/>
        </w:trPr>
        <w:tc>
          <w:tcPr>
            <w:tcW w:w="2546" w:type="dxa"/>
            <w:gridSpan w:val="2"/>
            <w:vMerge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Project work/Case study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8" w:type="dxa"/>
            <w:shd w:val="clear" w:color="auto" w:fill="DAEEF3"/>
          </w:tcPr>
          <w:p w:rsidR="00F66886" w:rsidRDefault="00490BD7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F66886" w:rsidRPr="00076E2F" w:rsidTr="003635C8">
        <w:trPr>
          <w:trHeight w:val="32"/>
        </w:trPr>
        <w:tc>
          <w:tcPr>
            <w:tcW w:w="2546" w:type="dxa"/>
            <w:gridSpan w:val="2"/>
            <w:vMerge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Other (please specify)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shd w:val="clear" w:color="auto" w:fill="DAEEF3"/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6886" w:rsidRPr="00076E2F" w:rsidTr="00B67A8D">
        <w:trPr>
          <w:trHeight w:val="32"/>
        </w:trPr>
        <w:tc>
          <w:tcPr>
            <w:tcW w:w="2546" w:type="dxa"/>
            <w:gridSpan w:val="2"/>
            <w:vMerge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Preparation for the exam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8" w:type="dxa"/>
            <w:shd w:val="clear" w:color="auto" w:fill="DAEEF3"/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F66886" w:rsidRPr="00E30985" w:rsidTr="00ED1DC8">
        <w:tc>
          <w:tcPr>
            <w:tcW w:w="2546" w:type="dxa"/>
            <w:gridSpan w:val="2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 Support for the Course</w:t>
            </w:r>
          </w:p>
        </w:tc>
        <w:tc>
          <w:tcPr>
            <w:tcW w:w="723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 support for the course is provided via LMS, where students can find: guidelines and recommendations for doing the course; guidelines and recommendations for self-study; samples of assessment materials</w:t>
            </w:r>
          </w:p>
        </w:tc>
      </w:tr>
      <w:tr w:rsidR="00F66886" w:rsidRPr="00E2749A" w:rsidTr="00ED1DC8">
        <w:tc>
          <w:tcPr>
            <w:tcW w:w="2546" w:type="dxa"/>
            <w:gridSpan w:val="2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86" w:rsidRPr="00586663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Facilities, Equipment and Software</w:t>
            </w:r>
          </w:p>
        </w:tc>
        <w:tc>
          <w:tcPr>
            <w:tcW w:w="723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Tablet or notebook</w:t>
            </w:r>
            <w:r w:rsidR="00E2749A">
              <w:rPr>
                <w:rFonts w:ascii="Times New Roman" w:hAnsi="Times New Roman"/>
                <w:sz w:val="24"/>
                <w:szCs w:val="24"/>
                <w:lang w:val="en-US"/>
              </w:rPr>
              <w:t>, internet access, presentation equipment</w:t>
            </w:r>
          </w:p>
        </w:tc>
      </w:tr>
      <w:bookmarkEnd w:id="0"/>
      <w:tr w:rsidR="00F66886" w:rsidRPr="00076E2F" w:rsidTr="00ED1DC8">
        <w:tc>
          <w:tcPr>
            <w:tcW w:w="2546" w:type="dxa"/>
            <w:gridSpan w:val="2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86" w:rsidRDefault="00F66886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23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86" w:rsidRDefault="00490BD7" w:rsidP="00F6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Igor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Rozhdestvenskii</w:t>
            </w:r>
            <w:proofErr w:type="spellEnd"/>
          </w:p>
        </w:tc>
      </w:tr>
    </w:tbl>
    <w:p w:rsidR="00A16FD4" w:rsidRPr="00B67A8D" w:rsidRDefault="00A16FD4" w:rsidP="00B67A8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16FD4" w:rsidRPr="00B67A8D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43" w:rsidRDefault="00E65643" w:rsidP="00B16748">
      <w:pPr>
        <w:spacing w:after="0" w:line="240" w:lineRule="auto"/>
      </w:pPr>
      <w:r>
        <w:separator/>
      </w:r>
    </w:p>
  </w:endnote>
  <w:endnote w:type="continuationSeparator" w:id="0">
    <w:p w:rsidR="00E65643" w:rsidRDefault="00E65643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43" w:rsidRDefault="00E65643" w:rsidP="00B16748">
      <w:pPr>
        <w:spacing w:after="0" w:line="240" w:lineRule="auto"/>
      </w:pPr>
      <w:r>
        <w:separator/>
      </w:r>
    </w:p>
  </w:footnote>
  <w:footnote w:type="continuationSeparator" w:id="0">
    <w:p w:rsidR="00E65643" w:rsidRDefault="00E65643" w:rsidP="00B1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4A8"/>
    <w:multiLevelType w:val="hybridMultilevel"/>
    <w:tmpl w:val="F00C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13FBA"/>
    <w:multiLevelType w:val="hybridMultilevel"/>
    <w:tmpl w:val="1090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154DC"/>
    <w:multiLevelType w:val="hybridMultilevel"/>
    <w:tmpl w:val="6334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A5071"/>
    <w:multiLevelType w:val="hybridMultilevel"/>
    <w:tmpl w:val="2C4E0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4876AD"/>
    <w:multiLevelType w:val="hybridMultilevel"/>
    <w:tmpl w:val="C1DA5FE2"/>
    <w:lvl w:ilvl="0" w:tplc="659A24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67C4718"/>
    <w:multiLevelType w:val="hybridMultilevel"/>
    <w:tmpl w:val="55FE5B52"/>
    <w:lvl w:ilvl="0" w:tplc="659A24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77EC2"/>
    <w:multiLevelType w:val="hybridMultilevel"/>
    <w:tmpl w:val="7946EFC0"/>
    <w:lvl w:ilvl="0" w:tplc="1E0E45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83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54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89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60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  <w:rPr>
        <w:rFonts w:cs="Times New Roman"/>
      </w:rPr>
    </w:lvl>
  </w:abstractNum>
  <w:abstractNum w:abstractNumId="8">
    <w:nsid w:val="7CC90F4E"/>
    <w:multiLevelType w:val="hybridMultilevel"/>
    <w:tmpl w:val="B238A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2A27"/>
    <w:rsid w:val="00014E12"/>
    <w:rsid w:val="000768EC"/>
    <w:rsid w:val="00076E2F"/>
    <w:rsid w:val="000E43AE"/>
    <w:rsid w:val="001269F5"/>
    <w:rsid w:val="00155F97"/>
    <w:rsid w:val="00193A67"/>
    <w:rsid w:val="001A5B44"/>
    <w:rsid w:val="00215062"/>
    <w:rsid w:val="00221316"/>
    <w:rsid w:val="00253D20"/>
    <w:rsid w:val="00261C34"/>
    <w:rsid w:val="00281019"/>
    <w:rsid w:val="00282C23"/>
    <w:rsid w:val="002C1A1A"/>
    <w:rsid w:val="0033665B"/>
    <w:rsid w:val="003635C8"/>
    <w:rsid w:val="003967E9"/>
    <w:rsid w:val="003A1822"/>
    <w:rsid w:val="003A37B3"/>
    <w:rsid w:val="003D390B"/>
    <w:rsid w:val="003F748E"/>
    <w:rsid w:val="004227B5"/>
    <w:rsid w:val="00490BD7"/>
    <w:rsid w:val="004B1D7A"/>
    <w:rsid w:val="004C1A03"/>
    <w:rsid w:val="00554AD8"/>
    <w:rsid w:val="005552C7"/>
    <w:rsid w:val="0057785A"/>
    <w:rsid w:val="00586663"/>
    <w:rsid w:val="005B09DF"/>
    <w:rsid w:val="005B2AC5"/>
    <w:rsid w:val="005E2834"/>
    <w:rsid w:val="00657EE4"/>
    <w:rsid w:val="006A0D74"/>
    <w:rsid w:val="006A3CA3"/>
    <w:rsid w:val="006B2D04"/>
    <w:rsid w:val="006E2F0C"/>
    <w:rsid w:val="00712F48"/>
    <w:rsid w:val="0078015E"/>
    <w:rsid w:val="00786FF3"/>
    <w:rsid w:val="00793703"/>
    <w:rsid w:val="007A2171"/>
    <w:rsid w:val="007F3922"/>
    <w:rsid w:val="00825CE1"/>
    <w:rsid w:val="00897602"/>
    <w:rsid w:val="008E035D"/>
    <w:rsid w:val="00917D19"/>
    <w:rsid w:val="00990551"/>
    <w:rsid w:val="00994FDA"/>
    <w:rsid w:val="009A6D3A"/>
    <w:rsid w:val="009E7BB5"/>
    <w:rsid w:val="00A16FD4"/>
    <w:rsid w:val="00A34320"/>
    <w:rsid w:val="00AA4C8A"/>
    <w:rsid w:val="00B15888"/>
    <w:rsid w:val="00B16748"/>
    <w:rsid w:val="00B67A8D"/>
    <w:rsid w:val="00BA3D99"/>
    <w:rsid w:val="00BC1655"/>
    <w:rsid w:val="00BD1435"/>
    <w:rsid w:val="00BE33CE"/>
    <w:rsid w:val="00C42A27"/>
    <w:rsid w:val="00C47752"/>
    <w:rsid w:val="00CB5F7C"/>
    <w:rsid w:val="00CC389F"/>
    <w:rsid w:val="00D85442"/>
    <w:rsid w:val="00DB57AC"/>
    <w:rsid w:val="00DF468A"/>
    <w:rsid w:val="00E2749A"/>
    <w:rsid w:val="00E30985"/>
    <w:rsid w:val="00E57E3E"/>
    <w:rsid w:val="00E65643"/>
    <w:rsid w:val="00E65DCD"/>
    <w:rsid w:val="00E66BE7"/>
    <w:rsid w:val="00E76FB4"/>
    <w:rsid w:val="00EB63A7"/>
    <w:rsid w:val="00ED1DC8"/>
    <w:rsid w:val="00ED34F0"/>
    <w:rsid w:val="00EF0FDD"/>
    <w:rsid w:val="00F00892"/>
    <w:rsid w:val="00F02BE3"/>
    <w:rsid w:val="00F064BA"/>
    <w:rsid w:val="00F31E20"/>
    <w:rsid w:val="00F423D1"/>
    <w:rsid w:val="00F62219"/>
    <w:rsid w:val="00F66886"/>
    <w:rsid w:val="00FC7A84"/>
    <w:rsid w:val="00FD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A2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"/>
    <w:link w:val="10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Calibri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C42A27"/>
    <w:rPr>
      <w:rFonts w:ascii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table" w:styleId="a4">
    <w:name w:val="Table Grid"/>
    <w:basedOn w:val="a2"/>
    <w:rsid w:val="00AA4C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B167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B16748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semiHidden/>
    <w:rsid w:val="00B16748"/>
    <w:rPr>
      <w:rFonts w:cs="Times New Roman"/>
      <w:vertAlign w:val="superscript"/>
    </w:rPr>
  </w:style>
  <w:style w:type="character" w:customStyle="1" w:styleId="reference-text">
    <w:name w:val="reference-text"/>
    <w:rsid w:val="00E2749A"/>
  </w:style>
  <w:style w:type="character" w:styleId="a8">
    <w:name w:val="Hyperlink"/>
    <w:uiPriority w:val="99"/>
    <w:unhideWhenUsed/>
    <w:rsid w:val="00E274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Syllabus</vt:lpstr>
      <vt:lpstr>Course Syllabus</vt:lpstr>
    </vt:vector>
  </TitlesOfParts>
  <Company>НИУ ВШЭ СПб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Миша</dc:creator>
  <cp:keywords/>
  <dc:description/>
  <cp:lastModifiedBy>agfedorenko</cp:lastModifiedBy>
  <cp:revision>2</cp:revision>
  <cp:lastPrinted>2016-12-26T08:05:00Z</cp:lastPrinted>
  <dcterms:created xsi:type="dcterms:W3CDTF">2018-11-02T09:07:00Z</dcterms:created>
  <dcterms:modified xsi:type="dcterms:W3CDTF">2018-11-02T09:07:00Z</dcterms:modified>
</cp:coreProperties>
</file>