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B27908" w:rsidRPr="007A0049" w:rsidTr="00643F49">
        <w:trPr>
          <w:trHeight w:val="30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B27908">
            <w:pPr>
              <w:rPr>
                <w:rFonts w:ascii="Open Sans" w:hAnsi="Open Sans" w:cs="Open Sans"/>
                <w:lang w:val="en-US"/>
              </w:rPr>
            </w:pPr>
            <w:r w:rsidRPr="002F7AB9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Information Management </w:t>
            </w:r>
          </w:p>
        </w:tc>
      </w:tr>
      <w:tr w:rsidR="00B27908" w:rsidRPr="002B741F" w:rsidTr="00643F49">
        <w:trPr>
          <w:trHeight w:val="60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  <w:lang w:val="en-U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Programme</w:t>
            </w:r>
            <w:proofErr w:type="spellEnd"/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8" w:rsidRPr="002F7AB9" w:rsidRDefault="00B27908" w:rsidP="00643F49">
            <w:pPr>
              <w:rPr>
                <w:rFonts w:ascii="Open Sans" w:hAnsi="Open Sans" w:cs="Open Sans"/>
                <w:lang w:val="en-U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BA “Sociology and Social Informatics”</w:t>
            </w:r>
          </w:p>
        </w:tc>
      </w:tr>
      <w:tr w:rsidR="00B27908" w:rsidRPr="002F7AB9" w:rsidTr="00643F49">
        <w:trPr>
          <w:trHeight w:val="30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Elective</w:t>
            </w:r>
          </w:p>
        </w:tc>
      </w:tr>
      <w:tr w:rsidR="00B27908" w:rsidRPr="002B741F" w:rsidTr="00643F49">
        <w:trPr>
          <w:trHeight w:val="60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Information systems. </w:t>
            </w:r>
          </w:p>
          <w:p w:rsidR="00B27908" w:rsidRPr="002F7AB9" w:rsidRDefault="00B27908" w:rsidP="00643F49">
            <w:pPr>
              <w:rPr>
                <w:rFonts w:ascii="Open Sans" w:hAnsi="Open Sans" w:cs="Open Sans"/>
                <w:lang w:val="en-U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First course in programming and/or data analysis is recommended</w:t>
            </w:r>
          </w:p>
        </w:tc>
      </w:tr>
      <w:tr w:rsidR="00B27908" w:rsidRPr="002F7AB9" w:rsidTr="00643F49">
        <w:trPr>
          <w:trHeight w:val="30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6</w:t>
            </w:r>
          </w:p>
        </w:tc>
      </w:tr>
      <w:tr w:rsidR="00B27908" w:rsidRPr="002F7AB9" w:rsidTr="00643F49">
        <w:trPr>
          <w:trHeight w:val="300"/>
          <w:jc w:val="center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Total</w:t>
            </w:r>
          </w:p>
        </w:tc>
      </w:tr>
      <w:tr w:rsidR="00B27908" w:rsidRPr="002F7AB9" w:rsidTr="00643F49">
        <w:trPr>
          <w:trHeight w:val="300"/>
          <w:jc w:val="center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228</w:t>
            </w:r>
          </w:p>
        </w:tc>
      </w:tr>
      <w:tr w:rsidR="00B27908" w:rsidRPr="002B741F" w:rsidTr="00643F49">
        <w:trPr>
          <w:trHeight w:val="3118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6F7" w:rsidRPr="00DD541C" w:rsidRDefault="00A00C7A" w:rsidP="00A00C7A">
            <w:pPr>
              <w:jc w:val="both"/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</w:pPr>
            <w:r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 xml:space="preserve">The course provides introduction to </w:t>
            </w:r>
            <w:r w:rsidR="00D46C8E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 xml:space="preserve">practice of </w:t>
            </w:r>
            <w:r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>contemporary IT management. It includes general overview of Information Management functions</w:t>
            </w:r>
            <w:r w:rsidR="00683FC3"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 xml:space="preserve"> and approaches</w:t>
            </w:r>
            <w:r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 xml:space="preserve">, </w:t>
            </w:r>
            <w:r w:rsidR="00683FC3"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>including traditional and agile management models</w:t>
            </w:r>
            <w:r w:rsidR="007F3C39"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>. It covers strategic principles of human resource management, organizational communication and main management processes.</w:t>
            </w:r>
          </w:p>
          <w:p w:rsidR="00B27908" w:rsidRPr="00DD541C" w:rsidRDefault="003C46F7" w:rsidP="00A00C7A">
            <w:pPr>
              <w:jc w:val="both"/>
              <w:rPr>
                <w:rFonts w:ascii="Helvetica" w:hAnsi="Helvetica" w:cs="Helvetica"/>
                <w:sz w:val="18"/>
                <w:szCs w:val="18"/>
                <w:shd w:val="clear" w:color="auto" w:fill="F1F0F0"/>
                <w:lang w:val="en-US"/>
              </w:rPr>
            </w:pPr>
            <w:r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>We also discuss modern digital business models</w:t>
            </w:r>
            <w:r w:rsidR="0061280A"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 xml:space="preserve">, </w:t>
            </w:r>
            <w:r w:rsidR="003B3DFF"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 xml:space="preserve">role of uncertainty and risk management, models of leadership in IT organizations, and concludes with </w:t>
            </w:r>
            <w:r w:rsidRPr="00DD541C">
              <w:rPr>
                <w:rFonts w:ascii="Helvetica" w:hAnsi="Helvetica" w:cs="Helvetica"/>
                <w:sz w:val="24"/>
                <w:szCs w:val="18"/>
                <w:shd w:val="clear" w:color="auto" w:fill="F1F0F0"/>
                <w:lang w:val="en-US"/>
              </w:rPr>
              <w:t>talking about self-management, time-management, planning.</w:t>
            </w:r>
          </w:p>
        </w:tc>
      </w:tr>
      <w:tr w:rsidR="00B27908" w:rsidRPr="002B741F" w:rsidTr="00D46C8E">
        <w:trPr>
          <w:trHeight w:val="1238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B27908" w:rsidP="00643F49">
            <w:pPr>
              <w:rPr>
                <w:rFonts w:ascii="Open Sans" w:hAnsi="Open Sans" w:cs="Open Sans"/>
                <w:lang w:val="en-U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908" w:rsidRPr="002F7AB9" w:rsidRDefault="00DD541C" w:rsidP="00B2790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513"/>
                <w:tab w:val="right" w:pos="9026"/>
              </w:tabs>
              <w:ind w:left="0"/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MOOC participation </w:t>
            </w:r>
            <w:r w:rsidR="00B27908"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(40% of the final grade)</w:t>
            </w:r>
          </w:p>
          <w:p w:rsidR="00B27908" w:rsidRPr="002F7AB9" w:rsidRDefault="00DD541C" w:rsidP="00B2790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513"/>
                <w:tab w:val="right" w:pos="9026"/>
              </w:tabs>
              <w:ind w:left="0"/>
              <w:jc w:val="both"/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Seminar participation</w:t>
            </w:r>
            <w:r w:rsidR="00B27908"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(20% of the final grade)</w:t>
            </w:r>
          </w:p>
          <w:p w:rsidR="00B27908" w:rsidRPr="00DD541C" w:rsidRDefault="00B27908" w:rsidP="00643F49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513"/>
                <w:tab w:val="right" w:pos="9026"/>
              </w:tabs>
              <w:ind w:left="0"/>
              <w:jc w:val="both"/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Empirical Study Essay and Presentation (</w:t>
            </w:r>
            <w:r w:rsidR="00D46C8E">
              <w:rPr>
                <w:rFonts w:ascii="Open Sans" w:hAnsi="Open Sans" w:cs="Open Sans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2F7AB9">
              <w:rPr>
                <w:rFonts w:ascii="Open Sans" w:hAnsi="Open Sans" w:cs="Open Sans"/>
                <w:sz w:val="24"/>
                <w:szCs w:val="24"/>
                <w:lang w:val="en-US"/>
              </w:rPr>
              <w:t>0% of the final grade</w:t>
            </w:r>
            <w:r w:rsidR="00DD541C">
              <w:rPr>
                <w:rFonts w:ascii="Open Sans" w:hAnsi="Open Sans" w:cs="Open Sans"/>
                <w:sz w:val="24"/>
                <w:szCs w:val="24"/>
                <w:lang w:val="en-US"/>
              </w:rPr>
              <w:t>)</w:t>
            </w:r>
          </w:p>
        </w:tc>
      </w:tr>
    </w:tbl>
    <w:p w:rsidR="00B27908" w:rsidRPr="002F7AB9" w:rsidRDefault="00B27908" w:rsidP="00B27908">
      <w:pPr>
        <w:pStyle w:val="1"/>
        <w:keepNext w:val="0"/>
        <w:jc w:val="both"/>
        <w:outlineLvl w:val="9"/>
        <w:rPr>
          <w:rFonts w:ascii="Open Sans" w:hAnsi="Open Sans" w:cs="Open Sans"/>
          <w:sz w:val="24"/>
          <w:szCs w:val="24"/>
          <w:lang w:val="en-US"/>
        </w:rPr>
      </w:pPr>
    </w:p>
    <w:p w:rsidR="00B27908" w:rsidRPr="00B27908" w:rsidRDefault="00B27908">
      <w:pPr>
        <w:rPr>
          <w:lang w:val="en-US"/>
        </w:rPr>
      </w:pPr>
    </w:p>
    <w:sectPr w:rsidR="00B27908" w:rsidRPr="00B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306A"/>
    <w:multiLevelType w:val="hybridMultilevel"/>
    <w:tmpl w:val="08F279AE"/>
    <w:lvl w:ilvl="0" w:tplc="792616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DAA5BA">
      <w:start w:val="1"/>
      <w:numFmt w:val="bullet"/>
      <w:lvlText w:val="o"/>
      <w:lvlJc w:val="left"/>
      <w:pPr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E4F460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A7B7A">
      <w:start w:val="1"/>
      <w:numFmt w:val="bullet"/>
      <w:lvlText w:val="•"/>
      <w:lvlJc w:val="left"/>
      <w:pPr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D61A">
      <w:start w:val="1"/>
      <w:numFmt w:val="bullet"/>
      <w:lvlText w:val="o"/>
      <w:lvlJc w:val="left"/>
      <w:pPr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04D4E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0A4670">
      <w:start w:val="1"/>
      <w:numFmt w:val="bullet"/>
      <w:lvlText w:val="•"/>
      <w:lvlJc w:val="left"/>
      <w:pPr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0B1B8">
      <w:start w:val="1"/>
      <w:numFmt w:val="bullet"/>
      <w:lvlText w:val="o"/>
      <w:lvlJc w:val="left"/>
      <w:pPr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EA1500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908"/>
    <w:rsid w:val="002B741F"/>
    <w:rsid w:val="003B3DFF"/>
    <w:rsid w:val="003C46F7"/>
    <w:rsid w:val="0061280A"/>
    <w:rsid w:val="00683FC3"/>
    <w:rsid w:val="007F3C39"/>
    <w:rsid w:val="00A00C7A"/>
    <w:rsid w:val="00B27908"/>
    <w:rsid w:val="00D46C8E"/>
    <w:rsid w:val="00DD541C"/>
    <w:rsid w:val="00F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D8E"/>
  <w15:docId w15:val="{77DA8048-89F0-4782-9F6A-AE98F65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90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_1"/>
    <w:basedOn w:val="4"/>
    <w:rsid w:val="00B27908"/>
    <w:pPr>
      <w:keepLines w:val="0"/>
      <w:spacing w:before="0" w:after="120" w:line="240" w:lineRule="auto"/>
      <w:jc w:val="center"/>
    </w:pPr>
    <w:rPr>
      <w:rFonts w:ascii="OfficinaSansC" w:eastAsia="MS Mincho" w:hAnsi="OfficinaSansC" w:cs="Times New Roman"/>
      <w:i w:val="0"/>
      <w:iCs w:val="0"/>
      <w:color w:val="auto"/>
      <w:sz w:val="28"/>
      <w:szCs w:val="28"/>
      <w:lang w:eastAsia="ja-JP"/>
    </w:rPr>
  </w:style>
  <w:style w:type="paragraph" w:customStyle="1" w:styleId="Default">
    <w:name w:val="Default"/>
    <w:rsid w:val="00B27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B27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7908"/>
    <w:rPr>
      <w:rFonts w:ascii="Calibri" w:eastAsia="Calibri" w:hAnsi="Calibri" w:cs="Times New Roman"/>
    </w:rPr>
  </w:style>
  <w:style w:type="table" w:customStyle="1" w:styleId="TableNormal">
    <w:name w:val="Table Normal"/>
    <w:rsid w:val="00B27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27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Ilya Musabirov</cp:lastModifiedBy>
  <cp:revision>2</cp:revision>
  <dcterms:created xsi:type="dcterms:W3CDTF">2017-12-06T09:26:00Z</dcterms:created>
  <dcterms:modified xsi:type="dcterms:W3CDTF">2018-05-19T11:38:00Z</dcterms:modified>
</cp:coreProperties>
</file>