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794CDA">
        <w:rPr>
          <w:rFonts w:ascii="Times New Roman" w:hAnsi="Times New Roman" w:cs="Times New Roman"/>
          <w:b/>
          <w:sz w:val="26"/>
          <w:szCs w:val="26"/>
        </w:rPr>
        <w:t xml:space="preserve">математике 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794CDA">
        <w:rPr>
          <w:rFonts w:ascii="Times New Roman" w:hAnsi="Times New Roman" w:cs="Times New Roman"/>
          <w:b/>
          <w:sz w:val="26"/>
          <w:szCs w:val="26"/>
        </w:rPr>
        <w:t>01.01.01 Вещественный, комплексный и функциональный анализ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794CDA" w:rsidP="00F5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Колпаков Андрей Сергеевич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794CDA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491868" w:rsidRDefault="00491868">
      <w:bookmarkStart w:id="0" w:name="_GoBack"/>
      <w:bookmarkEnd w:id="0"/>
    </w:p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226313"/>
    <w:rsid w:val="00491868"/>
    <w:rsid w:val="00794CDA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2017-06-21T10:13:00Z</dcterms:created>
  <dcterms:modified xsi:type="dcterms:W3CDTF">2017-06-21T10:13:00Z</dcterms:modified>
</cp:coreProperties>
</file>