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1" w:rsidRDefault="008534DD" w:rsidP="008534DD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>П.Б. Кононенко</w:t>
      </w:r>
    </w:p>
    <w:p w:rsidR="008534DD" w:rsidRDefault="008534DD" w:rsidP="008534DD">
      <w:pPr>
        <w:jc w:val="right"/>
        <w:rPr>
          <w:lang w:val="ru-RU"/>
        </w:rPr>
      </w:pPr>
      <w:r>
        <w:rPr>
          <w:lang w:val="ru-RU"/>
        </w:rPr>
        <w:t>Т.Ю. Ткачёва</w:t>
      </w:r>
    </w:p>
    <w:p w:rsidR="008534DD" w:rsidRDefault="008534DD" w:rsidP="008534DD">
      <w:pPr>
        <w:jc w:val="center"/>
        <w:rPr>
          <w:lang w:val="ru-RU"/>
        </w:rPr>
      </w:pPr>
      <w:r>
        <w:rPr>
          <w:lang w:val="ru-RU"/>
        </w:rPr>
        <w:t>Заявка на участие в конференции «Октябрьские чтения-2016</w:t>
      </w:r>
      <w:r w:rsidR="00B24B33">
        <w:rPr>
          <w:lang w:val="ru-RU"/>
        </w:rPr>
        <w:t>».</w:t>
      </w:r>
    </w:p>
    <w:p w:rsidR="00B24B33" w:rsidRDefault="00B24B33" w:rsidP="008534DD">
      <w:pPr>
        <w:jc w:val="center"/>
        <w:rPr>
          <w:sz w:val="28"/>
          <w:szCs w:val="28"/>
          <w:lang w:val="ru-RU"/>
        </w:rPr>
      </w:pPr>
      <w:r w:rsidRPr="00B24B33">
        <w:rPr>
          <w:sz w:val="28"/>
          <w:szCs w:val="28"/>
          <w:lang w:val="ru-RU"/>
        </w:rPr>
        <w:t>Факторы правового разнообразия в регионах Российской Федерации: институты имеют значение?</w:t>
      </w:r>
    </w:p>
    <w:p w:rsidR="00882336" w:rsidRPr="004E14A3" w:rsidRDefault="00882336" w:rsidP="00882336">
      <w:pPr>
        <w:ind w:firstLine="567"/>
        <w:rPr>
          <w:rFonts w:cs="Times New Roman"/>
          <w:noProof/>
          <w:szCs w:val="24"/>
          <w:lang w:eastAsia="ru-RU"/>
        </w:rPr>
      </w:pPr>
      <w:r w:rsidRPr="004E14A3">
        <w:rPr>
          <w:rFonts w:cs="Times New Roman"/>
          <w:noProof/>
          <w:szCs w:val="24"/>
          <w:lang w:eastAsia="ru-RU"/>
        </w:rPr>
        <w:t>Общим местом добросовестных рассуждений о российском федерализме является положение о его исключительно фасадном характере. В результате целой череды реформ, направленных сначала на рецентрализацию, а потом просто на централизацию и построение вертикали власти</w:t>
      </w:r>
      <w:r>
        <w:rPr>
          <w:rFonts w:cs="Times New Roman"/>
          <w:noProof/>
          <w:szCs w:val="24"/>
          <w:lang w:val="ru-RU" w:eastAsia="ru-RU"/>
        </w:rPr>
        <w:t>,</w:t>
      </w:r>
      <w:r w:rsidRPr="004E14A3">
        <w:rPr>
          <w:rFonts w:cs="Times New Roman"/>
          <w:noProof/>
          <w:szCs w:val="24"/>
          <w:lang w:eastAsia="ru-RU"/>
        </w:rPr>
        <w:t xml:space="preserve"> сложилась ситуация «регионы не значат». Структура органов региональной власти унифицировалась, партийная система приобрела общерегиональный </w:t>
      </w:r>
      <w:r>
        <w:rPr>
          <w:rFonts w:cs="Times New Roman"/>
          <w:noProof/>
          <w:szCs w:val="24"/>
          <w:lang w:val="ru-RU" w:eastAsia="ru-RU"/>
        </w:rPr>
        <w:t>стандарт</w:t>
      </w:r>
      <w:r w:rsidRPr="004E14A3">
        <w:rPr>
          <w:rFonts w:cs="Times New Roman"/>
          <w:noProof/>
          <w:szCs w:val="24"/>
          <w:lang w:eastAsia="ru-RU"/>
        </w:rPr>
        <w:t xml:space="preserve"> с закреплением ролей доминирующей и оппозиционных партий, исход выбров определяется степенью заинтересованности в них президенсткой администрации. Даже если и случаются «аварии», как, например, невыход партии «Единая Россия» на запланированные электоральные результаты по итогам последних парламентских выборов, причины у них, как правило, общефедеральные.</w:t>
      </w:r>
    </w:p>
    <w:p w:rsidR="00882336" w:rsidRPr="004E14A3" w:rsidRDefault="00882336" w:rsidP="00882336">
      <w:pPr>
        <w:ind w:firstLine="567"/>
        <w:rPr>
          <w:rFonts w:cs="Times New Roman"/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Тем не менее, возможность говор</w:t>
      </w:r>
      <w:r w:rsidRPr="004E14A3">
        <w:rPr>
          <w:rFonts w:cs="Times New Roman"/>
          <w:noProof/>
          <w:szCs w:val="24"/>
          <w:lang w:eastAsia="ru-RU"/>
        </w:rPr>
        <w:t xml:space="preserve">ить о неоднородности российского </w:t>
      </w:r>
      <w:r>
        <w:rPr>
          <w:rFonts w:cs="Times New Roman"/>
          <w:noProof/>
          <w:szCs w:val="24"/>
          <w:lang w:eastAsia="ru-RU"/>
        </w:rPr>
        <w:t>политического пространства оста</w:t>
      </w:r>
      <w:r>
        <w:rPr>
          <w:rFonts w:cs="Times New Roman"/>
          <w:noProof/>
          <w:szCs w:val="24"/>
          <w:lang w:val="ru-RU" w:eastAsia="ru-RU"/>
        </w:rPr>
        <w:t>ё</w:t>
      </w:r>
      <w:r w:rsidRPr="004E14A3">
        <w:rPr>
          <w:rFonts w:cs="Times New Roman"/>
          <w:noProof/>
          <w:szCs w:val="24"/>
          <w:lang w:eastAsia="ru-RU"/>
        </w:rPr>
        <w:t xml:space="preserve">тся. Региональные легислатуры, размер, институциональное устройство и политическая структура которых в последние годы прямо конструировалась вертикалью власти, демонстрируют разную интенсивность законотворческой деятельности. При этом, общее количество принятых НПА варьирует от региона к региону достаточно сильно. С другой стороны, </w:t>
      </w:r>
      <w:r>
        <w:rPr>
          <w:rFonts w:cs="Times New Roman"/>
          <w:noProof/>
          <w:szCs w:val="24"/>
          <w:lang w:eastAsia="ru-RU"/>
        </w:rPr>
        <w:t>деятельность Мин</w:t>
      </w:r>
      <w:r>
        <w:rPr>
          <w:rFonts w:cs="Times New Roman"/>
          <w:noProof/>
          <w:szCs w:val="24"/>
          <w:lang w:val="ru-RU" w:eastAsia="ru-RU"/>
        </w:rPr>
        <w:t>и</w:t>
      </w:r>
      <w:r w:rsidRPr="004E14A3">
        <w:rPr>
          <w:rFonts w:cs="Times New Roman"/>
          <w:noProof/>
          <w:szCs w:val="24"/>
          <w:lang w:eastAsia="ru-RU"/>
        </w:rPr>
        <w:t xml:space="preserve">стерства юстиции, направленная на «обеспечение единства правового пространства» Российской Федерации, на постоянной основе выявляет несоответствие региональных НПА федеральному законодательству. И количество «неправильных» законов также достаточно сильно варьирует от </w:t>
      </w:r>
      <w:r>
        <w:rPr>
          <w:rFonts w:cs="Times New Roman"/>
          <w:noProof/>
          <w:szCs w:val="24"/>
          <w:lang w:val="ru-RU" w:eastAsia="ru-RU"/>
        </w:rPr>
        <w:t>одного субъекта</w:t>
      </w:r>
      <w:r w:rsidRPr="004E14A3">
        <w:rPr>
          <w:rFonts w:cs="Times New Roman"/>
          <w:noProof/>
          <w:szCs w:val="24"/>
          <w:lang w:eastAsia="ru-RU"/>
        </w:rPr>
        <w:t xml:space="preserve"> к </w:t>
      </w:r>
      <w:r>
        <w:rPr>
          <w:rFonts w:cs="Times New Roman"/>
          <w:noProof/>
          <w:szCs w:val="24"/>
          <w:lang w:val="ru-RU" w:eastAsia="ru-RU"/>
        </w:rPr>
        <w:t>другому</w:t>
      </w:r>
      <w:r w:rsidRPr="004E14A3">
        <w:rPr>
          <w:rFonts w:cs="Times New Roman"/>
          <w:noProof/>
          <w:szCs w:val="24"/>
          <w:lang w:eastAsia="ru-RU"/>
        </w:rPr>
        <w:t>.</w:t>
      </w:r>
    </w:p>
    <w:p w:rsidR="00882336" w:rsidRDefault="00882336" w:rsidP="00882336">
      <w:pPr>
        <w:ind w:firstLine="567"/>
        <w:rPr>
          <w:rFonts w:cs="Times New Roman"/>
          <w:noProof/>
          <w:szCs w:val="24"/>
          <w:lang w:val="ru-RU" w:eastAsia="ru-RU"/>
        </w:rPr>
      </w:pPr>
      <w:r>
        <w:rPr>
          <w:rFonts w:cs="Times New Roman"/>
          <w:noProof/>
          <w:szCs w:val="24"/>
          <w:lang w:eastAsia="ru-RU"/>
        </w:rPr>
        <w:t>Данн</w:t>
      </w:r>
      <w:r>
        <w:rPr>
          <w:rFonts w:cs="Times New Roman"/>
          <w:noProof/>
          <w:szCs w:val="24"/>
          <w:lang w:val="ru-RU" w:eastAsia="ru-RU"/>
        </w:rPr>
        <w:t>ый</w:t>
      </w:r>
      <w:r>
        <w:rPr>
          <w:rFonts w:cs="Times New Roman"/>
          <w:noProof/>
          <w:szCs w:val="24"/>
          <w:lang w:eastAsia="ru-RU"/>
        </w:rPr>
        <w:t xml:space="preserve"> исследова</w:t>
      </w:r>
      <w:r>
        <w:rPr>
          <w:rFonts w:cs="Times New Roman"/>
          <w:noProof/>
          <w:szCs w:val="24"/>
          <w:lang w:val="ru-RU" w:eastAsia="ru-RU"/>
        </w:rPr>
        <w:t>тельский проект</w:t>
      </w:r>
      <w:r w:rsidRPr="004E14A3">
        <w:rPr>
          <w:rFonts w:cs="Times New Roman"/>
          <w:noProof/>
          <w:szCs w:val="24"/>
          <w:lang w:eastAsia="ru-RU"/>
        </w:rPr>
        <w:t xml:space="preserve"> представляет собой попытку объяснения этих двух неоднородностей – «количества» и «качества» законов, принимаемых региональными парламентами в условиях политической и институциональной однородоности. Хронологи</w:t>
      </w:r>
      <w:r>
        <w:rPr>
          <w:rFonts w:cs="Times New Roman"/>
          <w:noProof/>
          <w:szCs w:val="24"/>
          <w:lang w:eastAsia="ru-RU"/>
        </w:rPr>
        <w:t xml:space="preserve">ческие рамки исследования </w:t>
      </w:r>
      <w:r>
        <w:rPr>
          <w:rFonts w:cs="Times New Roman"/>
          <w:noProof/>
          <w:szCs w:val="24"/>
          <w:lang w:val="ru-RU" w:eastAsia="ru-RU"/>
        </w:rPr>
        <w:t>на данный момент – 2011 – 2013 гг.</w:t>
      </w:r>
    </w:p>
    <w:p w:rsidR="00757A23" w:rsidRDefault="00757A23" w:rsidP="00757A23">
      <w:pPr>
        <w:ind w:firstLine="567"/>
        <w:rPr>
          <w:rFonts w:cs="Times New Roman"/>
          <w:noProof/>
          <w:szCs w:val="24"/>
          <w:lang w:val="ru-RU" w:eastAsia="ru-RU"/>
        </w:rPr>
      </w:pPr>
      <w:r>
        <w:rPr>
          <w:rFonts w:cs="Times New Roman"/>
          <w:noProof/>
          <w:szCs w:val="24"/>
          <w:lang w:val="ru-RU" w:eastAsia="ru-RU"/>
        </w:rPr>
        <w:t>Х</w:t>
      </w:r>
      <w:r w:rsidRPr="00757A23">
        <w:rPr>
          <w:rFonts w:cs="Times New Roman"/>
          <w:noProof/>
          <w:szCs w:val="24"/>
          <w:lang w:val="ru-RU" w:eastAsia="ru-RU"/>
        </w:rPr>
        <w:t xml:space="preserve">отелось бы отметить, что прямой связи между интенсивностью законодательной деятельности и ее качеством не наблюдается. В 2011 году из 103346 НПА  несоответствующими были признаны 4426, а  в 2012  из 117308 – 4971. </w:t>
      </w:r>
      <w:proofErr w:type="gramStart"/>
      <w:r w:rsidRPr="00757A23">
        <w:rPr>
          <w:rFonts w:cs="Times New Roman"/>
          <w:noProof/>
          <w:szCs w:val="24"/>
          <w:lang w:val="ru-RU" w:eastAsia="ru-RU"/>
        </w:rPr>
        <w:t xml:space="preserve">При этом, у нас </w:t>
      </w:r>
      <w:r w:rsidRPr="00757A23">
        <w:rPr>
          <w:rFonts w:cs="Times New Roman"/>
          <w:noProof/>
          <w:szCs w:val="24"/>
          <w:lang w:val="ru-RU" w:eastAsia="ru-RU"/>
        </w:rPr>
        <w:lastRenderedPageBreak/>
        <w:t>есть регионы, которые пишут много законов и делают это «хорошо» (Забайкальский край, Алтайский край, Орловская область, Астраханская область), пишут мало законов и делают это «хорошо» (Северная Осетия, Челябинская область, Смоленская область,  Владимирская область, Кабардино-Балкария), пишут мало законов и «плохо» (НАО, Республика Алтай, Башкирия Мордовия).</w:t>
      </w:r>
      <w:proofErr w:type="gramEnd"/>
      <w:r w:rsidRPr="00757A23">
        <w:rPr>
          <w:rFonts w:cs="Times New Roman"/>
          <w:noProof/>
          <w:szCs w:val="24"/>
          <w:lang w:val="ru-RU" w:eastAsia="ru-RU"/>
        </w:rPr>
        <w:t xml:space="preserve"> Регинов, которые пишут много законов, но делают это «плохо» на протяжении двух лет нет, но в 2011 году это были Новосибирская область и Санкт-Петербург. </w:t>
      </w:r>
      <w:bookmarkStart w:id="0" w:name="_GoBack"/>
      <w:bookmarkEnd w:id="0"/>
      <w:r w:rsidRPr="00757A23">
        <w:rPr>
          <w:rFonts w:cs="Times New Roman"/>
          <w:noProof/>
          <w:szCs w:val="24"/>
          <w:lang w:val="ru-RU" w:eastAsia="ru-RU"/>
        </w:rPr>
        <w:t>Таким образом, стратегия исследования будет состоять в том, чтобы объяснять две эти однородности как несвязанные между собой.</w:t>
      </w:r>
    </w:p>
    <w:p w:rsidR="00585B31" w:rsidRDefault="009D600C" w:rsidP="00882336">
      <w:pPr>
        <w:ind w:firstLine="567"/>
        <w:rPr>
          <w:rFonts w:cs="Times New Roman"/>
          <w:noProof/>
          <w:szCs w:val="24"/>
          <w:lang w:val="ru-RU" w:eastAsia="ru-RU"/>
        </w:rPr>
      </w:pPr>
      <w:r>
        <w:rPr>
          <w:rFonts w:cs="Times New Roman"/>
          <w:noProof/>
          <w:szCs w:val="24"/>
          <w:lang w:val="ru-RU" w:eastAsia="ru-RU"/>
        </w:rPr>
        <w:t>Основная гипотеза исследования заключается в предположении, согласно которому общее количество законов (условная активность региональных законодательных органов) и доля несоответствующих НПА (условная</w:t>
      </w:r>
      <w:r w:rsidR="00D46F3F">
        <w:rPr>
          <w:rFonts w:cs="Times New Roman"/>
          <w:noProof/>
          <w:szCs w:val="24"/>
          <w:lang w:val="ru-RU" w:eastAsia="ru-RU"/>
        </w:rPr>
        <w:t xml:space="preserve"> «лояльность») объясняются особенностями организационной и политической структуры региональных легислатур. </w:t>
      </w:r>
      <w:r w:rsidR="00585B31" w:rsidRPr="0004053E">
        <w:rPr>
          <w:rFonts w:cs="Times New Roman"/>
          <w:noProof/>
          <w:szCs w:val="24"/>
          <w:lang w:val="ru-RU" w:eastAsia="ru-RU"/>
        </w:rPr>
        <w:t>Деятельность Министерства юстиции в данном исследовании принимается за сугубо формальную, беспристрастную и единообразную (т.е., признание НПА несоответствующим законодательству зависит только от качества самого закона).</w:t>
      </w:r>
    </w:p>
    <w:p w:rsidR="00882336" w:rsidRDefault="00882336" w:rsidP="00882336">
      <w:pPr>
        <w:ind w:firstLine="567"/>
        <w:rPr>
          <w:rFonts w:cs="Times New Roman"/>
          <w:noProof/>
          <w:szCs w:val="24"/>
          <w:lang w:val="ru-RU" w:eastAsia="ru-RU"/>
        </w:rPr>
      </w:pPr>
      <w:r w:rsidRPr="0047180B">
        <w:rPr>
          <w:rFonts w:cs="Times New Roman"/>
          <w:i/>
          <w:noProof/>
          <w:szCs w:val="24"/>
          <w:lang w:val="ru-RU" w:eastAsia="ru-RU"/>
        </w:rPr>
        <w:t>Зависимые переменные</w:t>
      </w:r>
      <w:r>
        <w:rPr>
          <w:rFonts w:cs="Times New Roman"/>
          <w:noProof/>
          <w:szCs w:val="24"/>
          <w:lang w:val="ru-RU" w:eastAsia="ru-RU"/>
        </w:rPr>
        <w:t xml:space="preserve">: </w:t>
      </w:r>
      <w:r w:rsidR="00B44A1E">
        <w:rPr>
          <w:rFonts w:cs="Times New Roman"/>
          <w:noProof/>
          <w:szCs w:val="24"/>
          <w:lang w:val="ru-RU" w:eastAsia="ru-RU"/>
        </w:rPr>
        <w:t xml:space="preserve">1) </w:t>
      </w:r>
      <w:r>
        <w:rPr>
          <w:rFonts w:cs="Times New Roman"/>
          <w:noProof/>
          <w:szCs w:val="24"/>
          <w:lang w:val="ru-RU" w:eastAsia="ru-RU"/>
        </w:rPr>
        <w:t>общее количество НПА, отправленных на проверку в Минюст (2011, 2012 и 2013 гг.);</w:t>
      </w:r>
      <w:r w:rsidR="00B44A1E">
        <w:rPr>
          <w:rFonts w:cs="Times New Roman"/>
          <w:noProof/>
          <w:szCs w:val="24"/>
          <w:lang w:val="ru-RU" w:eastAsia="ru-RU"/>
        </w:rPr>
        <w:t xml:space="preserve"> 2)</w:t>
      </w:r>
      <w:r>
        <w:rPr>
          <w:rFonts w:cs="Times New Roman"/>
          <w:noProof/>
          <w:szCs w:val="24"/>
          <w:lang w:val="ru-RU" w:eastAsia="ru-RU"/>
        </w:rPr>
        <w:t xml:space="preserve"> доля несоответствующих законов в общем объёме присланных на проверку актов.</w:t>
      </w:r>
    </w:p>
    <w:p w:rsidR="00B24B33" w:rsidRPr="00B24B33" w:rsidRDefault="00882336" w:rsidP="004A4D6D">
      <w:pPr>
        <w:ind w:firstLine="567"/>
        <w:rPr>
          <w:szCs w:val="24"/>
          <w:lang w:val="ru-RU"/>
        </w:rPr>
      </w:pPr>
      <w:r w:rsidRPr="0047180B">
        <w:rPr>
          <w:rFonts w:cs="Times New Roman"/>
          <w:i/>
          <w:noProof/>
          <w:szCs w:val="24"/>
          <w:lang w:val="ru-RU" w:eastAsia="ru-RU"/>
        </w:rPr>
        <w:t>Независимые переменные</w:t>
      </w:r>
      <w:r w:rsidR="00B94CB1">
        <w:rPr>
          <w:rFonts w:cs="Times New Roman"/>
          <w:noProof/>
          <w:szCs w:val="24"/>
          <w:lang w:val="ru-RU" w:eastAsia="ru-RU"/>
        </w:rPr>
        <w:t xml:space="preserve">: 1) </w:t>
      </w:r>
      <w:r w:rsidR="00242F96">
        <w:rPr>
          <w:rFonts w:cs="Times New Roman"/>
          <w:noProof/>
          <w:szCs w:val="24"/>
          <w:lang w:val="ru-RU" w:eastAsia="ru-RU"/>
        </w:rPr>
        <w:t>показатели абсолютного и относительного размера</w:t>
      </w:r>
      <w:r w:rsidR="00B94CB1" w:rsidRPr="0004053E">
        <w:rPr>
          <w:rFonts w:cs="Times New Roman"/>
          <w:noProof/>
          <w:szCs w:val="24"/>
          <w:lang w:val="ru-RU" w:eastAsia="ru-RU"/>
        </w:rPr>
        <w:t xml:space="preserve"> регионального парламента</w:t>
      </w:r>
      <w:r w:rsidR="00B94CB1">
        <w:rPr>
          <w:rStyle w:val="a5"/>
          <w:rFonts w:cs="Times New Roman"/>
          <w:noProof/>
          <w:szCs w:val="24"/>
          <w:lang w:val="ru-RU" w:eastAsia="ru-RU"/>
        </w:rPr>
        <w:footnoteReference w:id="1"/>
      </w:r>
      <w:r w:rsidR="00B94CB1">
        <w:rPr>
          <w:rFonts w:cs="Times New Roman"/>
          <w:noProof/>
          <w:szCs w:val="24"/>
          <w:lang w:val="ru-RU" w:eastAsia="ru-RU"/>
        </w:rPr>
        <w:t xml:space="preserve">; 2) </w:t>
      </w:r>
      <w:r w:rsidR="00B94CB1" w:rsidRPr="0004053E">
        <w:rPr>
          <w:rFonts w:cs="Times New Roman"/>
          <w:noProof/>
          <w:szCs w:val="24"/>
          <w:lang w:val="ru-RU" w:eastAsia="ru-RU"/>
        </w:rPr>
        <w:t>количество постоянных комитетов</w:t>
      </w:r>
      <w:r w:rsidR="00242F96">
        <w:rPr>
          <w:rFonts w:cs="Times New Roman"/>
          <w:noProof/>
          <w:szCs w:val="24"/>
          <w:lang w:val="ru-RU" w:eastAsia="ru-RU"/>
        </w:rPr>
        <w:t xml:space="preserve">; 3) </w:t>
      </w:r>
      <w:r w:rsidR="00B94CB1" w:rsidRPr="0004053E">
        <w:rPr>
          <w:rFonts w:cs="Times New Roman"/>
          <w:noProof/>
          <w:szCs w:val="24"/>
          <w:lang w:val="ru-RU" w:eastAsia="ru-RU"/>
        </w:rPr>
        <w:t>степень политической фрагментации</w:t>
      </w:r>
      <w:r w:rsidR="00B94CB1">
        <w:rPr>
          <w:rStyle w:val="a5"/>
          <w:rFonts w:cs="Times New Roman"/>
          <w:noProof/>
          <w:szCs w:val="24"/>
          <w:lang w:val="ru-RU" w:eastAsia="ru-RU"/>
        </w:rPr>
        <w:footnoteReference w:id="2"/>
      </w:r>
      <w:r w:rsidR="00242F96">
        <w:rPr>
          <w:rFonts w:cs="Times New Roman"/>
          <w:noProof/>
          <w:szCs w:val="24"/>
          <w:lang w:val="ru-RU" w:eastAsia="ru-RU"/>
        </w:rPr>
        <w:t xml:space="preserve">; 4) </w:t>
      </w:r>
      <w:r w:rsidR="00990EE9">
        <w:rPr>
          <w:rFonts w:cs="Times New Roman"/>
          <w:noProof/>
          <w:szCs w:val="24"/>
          <w:lang w:val="ru-RU" w:eastAsia="ru-RU"/>
        </w:rPr>
        <w:t xml:space="preserve">условная </w:t>
      </w:r>
      <w:r w:rsidR="00242F96">
        <w:rPr>
          <w:rFonts w:cs="Times New Roman"/>
          <w:noProof/>
          <w:szCs w:val="24"/>
          <w:lang w:val="ru-RU" w:eastAsia="ru-RU"/>
        </w:rPr>
        <w:t>средняя</w:t>
      </w:r>
      <w:r w:rsidR="00B94CB1" w:rsidRPr="0004053E">
        <w:rPr>
          <w:rFonts w:cs="Times New Roman"/>
          <w:noProof/>
          <w:szCs w:val="24"/>
          <w:lang w:val="ru-RU" w:eastAsia="ru-RU"/>
        </w:rPr>
        <w:t xml:space="preserve"> загруженность одного депутата</w:t>
      </w:r>
      <w:r w:rsidR="00B94CB1">
        <w:rPr>
          <w:rFonts w:cs="Times New Roman"/>
          <w:noProof/>
          <w:szCs w:val="24"/>
          <w:lang w:val="ru-RU" w:eastAsia="ru-RU"/>
        </w:rPr>
        <w:t xml:space="preserve"> (количество комитетов на депутата)</w:t>
      </w:r>
      <w:r w:rsidR="00B94CB1" w:rsidRPr="0004053E">
        <w:rPr>
          <w:rFonts w:cs="Times New Roman"/>
          <w:noProof/>
          <w:szCs w:val="24"/>
          <w:lang w:val="ru-RU" w:eastAsia="ru-RU"/>
        </w:rPr>
        <w:t>.</w:t>
      </w:r>
      <w:r w:rsidR="00990EE9">
        <w:rPr>
          <w:rFonts w:cs="Times New Roman"/>
          <w:noProof/>
          <w:szCs w:val="24"/>
          <w:lang w:val="ru-RU" w:eastAsia="ru-RU"/>
        </w:rPr>
        <w:t xml:space="preserve"> </w:t>
      </w:r>
      <w:r w:rsidR="004A4D6D">
        <w:rPr>
          <w:rFonts w:cs="Times New Roman"/>
          <w:noProof/>
          <w:szCs w:val="24"/>
          <w:lang w:val="ru-RU" w:eastAsia="ru-RU"/>
        </w:rPr>
        <w:t>Помимо этого, в анализ включены контрольные переменные, характеризующие внутрирегиональные показатели: 1) статус</w:t>
      </w:r>
      <w:r w:rsidR="004A4D6D" w:rsidRPr="0004053E">
        <w:rPr>
          <w:rFonts w:cs="Times New Roman"/>
          <w:noProof/>
          <w:szCs w:val="24"/>
          <w:lang w:val="ru-RU" w:eastAsia="ru-RU"/>
        </w:rPr>
        <w:t xml:space="preserve"> региона</w:t>
      </w:r>
      <w:r w:rsidR="004A4D6D">
        <w:rPr>
          <w:rFonts w:cs="Times New Roman"/>
          <w:noProof/>
          <w:szCs w:val="24"/>
          <w:lang w:val="ru-RU" w:eastAsia="ru-RU"/>
        </w:rPr>
        <w:t xml:space="preserve"> (республика-не республика); 2) этнический</w:t>
      </w:r>
      <w:r w:rsidR="004A4D6D" w:rsidRPr="0004053E">
        <w:rPr>
          <w:rFonts w:cs="Times New Roman"/>
          <w:noProof/>
          <w:szCs w:val="24"/>
          <w:lang w:val="ru-RU" w:eastAsia="ru-RU"/>
        </w:rPr>
        <w:t xml:space="preserve"> состав</w:t>
      </w:r>
      <w:r w:rsidR="004A4D6D">
        <w:rPr>
          <w:rFonts w:cs="Times New Roman"/>
          <w:noProof/>
          <w:szCs w:val="24"/>
          <w:lang w:val="ru-RU" w:eastAsia="ru-RU"/>
        </w:rPr>
        <w:t xml:space="preserve"> (доля русских); 3) ВРП на душу населения; 4) доля городского населения; 5) расстояние от столицы региона до Москвы; 6) характеристики политической системы</w:t>
      </w:r>
      <w:r w:rsidR="004A4D6D">
        <w:rPr>
          <w:rStyle w:val="a5"/>
          <w:rFonts w:cs="Times New Roman"/>
          <w:noProof/>
          <w:szCs w:val="24"/>
          <w:lang w:val="ru-RU" w:eastAsia="ru-RU"/>
        </w:rPr>
        <w:footnoteReference w:id="3"/>
      </w:r>
      <w:r w:rsidR="004A4D6D">
        <w:rPr>
          <w:rFonts w:cs="Times New Roman"/>
          <w:noProof/>
          <w:szCs w:val="24"/>
          <w:lang w:val="ru-RU" w:eastAsia="ru-RU"/>
        </w:rPr>
        <w:t>; 7) численность населения; 8) доля трансфертов в доходах региона.</w:t>
      </w:r>
    </w:p>
    <w:sectPr w:rsidR="00B24B33" w:rsidRPr="00B24B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73" w:rsidRDefault="00877473" w:rsidP="00882336">
      <w:pPr>
        <w:spacing w:after="0" w:line="240" w:lineRule="auto"/>
      </w:pPr>
      <w:r>
        <w:separator/>
      </w:r>
    </w:p>
  </w:endnote>
  <w:endnote w:type="continuationSeparator" w:id="0">
    <w:p w:rsidR="00877473" w:rsidRDefault="00877473" w:rsidP="0088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845855"/>
      <w:docPartObj>
        <w:docPartGallery w:val="Page Numbers (Bottom of Page)"/>
        <w:docPartUnique/>
      </w:docPartObj>
    </w:sdtPr>
    <w:sdtContent>
      <w:p w:rsidR="008A05A5" w:rsidRDefault="008A05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83" w:rsidRPr="007A6483">
          <w:rPr>
            <w:noProof/>
            <w:lang w:val="ru-RU"/>
          </w:rPr>
          <w:t>1</w:t>
        </w:r>
        <w:r>
          <w:fldChar w:fldCharType="end"/>
        </w:r>
      </w:p>
    </w:sdtContent>
  </w:sdt>
  <w:p w:rsidR="008A05A5" w:rsidRDefault="008A05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73" w:rsidRDefault="00877473" w:rsidP="00882336">
      <w:pPr>
        <w:spacing w:after="0" w:line="240" w:lineRule="auto"/>
      </w:pPr>
      <w:r>
        <w:separator/>
      </w:r>
    </w:p>
  </w:footnote>
  <w:footnote w:type="continuationSeparator" w:id="0">
    <w:p w:rsidR="00877473" w:rsidRDefault="00877473" w:rsidP="00882336">
      <w:pPr>
        <w:spacing w:after="0" w:line="240" w:lineRule="auto"/>
      </w:pPr>
      <w:r>
        <w:continuationSeparator/>
      </w:r>
    </w:p>
  </w:footnote>
  <w:footnote w:id="1">
    <w:p w:rsidR="00B94CB1" w:rsidRPr="0047180B" w:rsidRDefault="00B94CB1" w:rsidP="00B94CB1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Абсолютный размер парламента – количество депутатов, относительный – количество депутатов на комитет. </w:t>
      </w:r>
    </w:p>
  </w:footnote>
  <w:footnote w:id="2">
    <w:p w:rsidR="00B94CB1" w:rsidRPr="00A1640A" w:rsidRDefault="00B94CB1" w:rsidP="00B94CB1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Абсолютный показатель – количество мест депутатов «Единой России» в парламенте региона, относительный показатель – доля мест депутатов «Единой России» в парламенте региона.</w:t>
      </w:r>
    </w:p>
  </w:footnote>
  <w:footnote w:id="3">
    <w:p w:rsidR="004A4D6D" w:rsidRPr="00B6000F" w:rsidRDefault="004A4D6D" w:rsidP="004A4D6D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lang w:val="ru-RU"/>
        </w:rPr>
        <w:t>Эффективное число партий на парламентских выборах 2011 года, эффективное число кандидатов на президентских выборах 2012 года, доля голосов за «Единую Россию» в 2011 году, доля голосов за В. Путина в 2012 году, количество смен на губернаторском посту с 2000 года, длительность срока нынешнего губернатора, доля депутатов «Единой России» в региональном парламенте, количество госслужащих в регионе.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D"/>
    <w:rsid w:val="00054D83"/>
    <w:rsid w:val="00242F96"/>
    <w:rsid w:val="00315632"/>
    <w:rsid w:val="003B73E9"/>
    <w:rsid w:val="004A4D6D"/>
    <w:rsid w:val="00585B31"/>
    <w:rsid w:val="006E07FC"/>
    <w:rsid w:val="00757A23"/>
    <w:rsid w:val="007A6483"/>
    <w:rsid w:val="00841715"/>
    <w:rsid w:val="008534DD"/>
    <w:rsid w:val="00877473"/>
    <w:rsid w:val="00882336"/>
    <w:rsid w:val="008A0189"/>
    <w:rsid w:val="008A05A5"/>
    <w:rsid w:val="00972B29"/>
    <w:rsid w:val="00990EE9"/>
    <w:rsid w:val="009D600C"/>
    <w:rsid w:val="00A36CC1"/>
    <w:rsid w:val="00B24B33"/>
    <w:rsid w:val="00B44A1E"/>
    <w:rsid w:val="00B94CB1"/>
    <w:rsid w:val="00D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FC"/>
    <w:pPr>
      <w:spacing w:line="360" w:lineRule="auto"/>
      <w:jc w:val="both"/>
    </w:pPr>
    <w:rPr>
      <w:rFonts w:ascii="Times New Roman" w:eastAsiaTheme="minorEastAsia" w:hAnsi="Times New Roman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23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2336"/>
    <w:rPr>
      <w:rFonts w:ascii="Times New Roman" w:eastAsiaTheme="minorEastAsia" w:hAnsi="Times New Roman"/>
      <w:sz w:val="20"/>
      <w:szCs w:val="20"/>
      <w:lang w:val="en-GB" w:eastAsia="zh-CN"/>
    </w:rPr>
  </w:style>
  <w:style w:type="character" w:styleId="a5">
    <w:name w:val="footnote reference"/>
    <w:basedOn w:val="a0"/>
    <w:uiPriority w:val="99"/>
    <w:semiHidden/>
    <w:unhideWhenUsed/>
    <w:rsid w:val="0088233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A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5A5"/>
    <w:rPr>
      <w:rFonts w:ascii="Times New Roman" w:eastAsiaTheme="minorEastAsia" w:hAnsi="Times New Roman"/>
      <w:sz w:val="24"/>
      <w:lang w:val="en-GB" w:eastAsia="zh-CN"/>
    </w:rPr>
  </w:style>
  <w:style w:type="paragraph" w:styleId="a8">
    <w:name w:val="footer"/>
    <w:basedOn w:val="a"/>
    <w:link w:val="a9"/>
    <w:uiPriority w:val="99"/>
    <w:unhideWhenUsed/>
    <w:rsid w:val="008A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5A5"/>
    <w:rPr>
      <w:rFonts w:ascii="Times New Roman" w:eastAsiaTheme="minorEastAsia" w:hAnsi="Times New Roman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FC"/>
    <w:pPr>
      <w:spacing w:line="360" w:lineRule="auto"/>
      <w:jc w:val="both"/>
    </w:pPr>
    <w:rPr>
      <w:rFonts w:ascii="Times New Roman" w:eastAsiaTheme="minorEastAsia" w:hAnsi="Times New Roman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23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2336"/>
    <w:rPr>
      <w:rFonts w:ascii="Times New Roman" w:eastAsiaTheme="minorEastAsia" w:hAnsi="Times New Roman"/>
      <w:sz w:val="20"/>
      <w:szCs w:val="20"/>
      <w:lang w:val="en-GB" w:eastAsia="zh-CN"/>
    </w:rPr>
  </w:style>
  <w:style w:type="character" w:styleId="a5">
    <w:name w:val="footnote reference"/>
    <w:basedOn w:val="a0"/>
    <w:uiPriority w:val="99"/>
    <w:semiHidden/>
    <w:unhideWhenUsed/>
    <w:rsid w:val="0088233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A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5A5"/>
    <w:rPr>
      <w:rFonts w:ascii="Times New Roman" w:eastAsiaTheme="minorEastAsia" w:hAnsi="Times New Roman"/>
      <w:sz w:val="24"/>
      <w:lang w:val="en-GB" w:eastAsia="zh-CN"/>
    </w:rPr>
  </w:style>
  <w:style w:type="paragraph" w:styleId="a8">
    <w:name w:val="footer"/>
    <w:basedOn w:val="a"/>
    <w:link w:val="a9"/>
    <w:uiPriority w:val="99"/>
    <w:unhideWhenUsed/>
    <w:rsid w:val="008A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5A5"/>
    <w:rPr>
      <w:rFonts w:ascii="Times New Roman" w:eastAsiaTheme="minorEastAsia" w:hAnsi="Times New Roman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501</Words>
  <Characters>3725</Characters>
  <Application>Microsoft Office Word</Application>
  <DocSecurity>0</DocSecurity>
  <Lines>61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Tkacheva</dc:creator>
  <cp:lastModifiedBy>Tatiana Tkacheva</cp:lastModifiedBy>
  <cp:revision>1</cp:revision>
  <dcterms:created xsi:type="dcterms:W3CDTF">2016-05-29T12:28:00Z</dcterms:created>
  <dcterms:modified xsi:type="dcterms:W3CDTF">2016-05-29T13:23:00Z</dcterms:modified>
</cp:coreProperties>
</file>